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nl-NL"/>
        </w:rPr>
        <w:id w:val="5795469"/>
        <w:docPartObj>
          <w:docPartGallery w:val="Cover Pages"/>
          <w:docPartUnique/>
        </w:docPartObj>
      </w:sdtPr>
      <w:sdtEndPr>
        <w:rPr>
          <w:lang w:val="en-US"/>
        </w:rPr>
      </w:sdtEndPr>
      <w:sdtContent>
        <w:p w:rsidR="00481FD4" w:rsidRDefault="003352B0">
          <w:pPr>
            <w:rPr>
              <w:lang w:val="nl-NL"/>
            </w:rPr>
          </w:pPr>
          <w:r w:rsidRPr="003352B0">
            <w:rPr>
              <w:noProof/>
            </w:rPr>
            <w:pict>
              <v:group id="Group 2" o:spid="_x0000_s1026" style="position:absolute;margin-left:-11.15pt;margin-top:-.75pt;width:594.65pt;height:700.1pt;z-index:251660288;mso-width-percent:1000;mso-height-percent:1000;mso-position-horizontal-relative:page;mso-position-vertical-relative:margin;mso-width-percent:1000;mso-height-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" o:allowincell="f">
                <v:group id="Group 3"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4"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5"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xEsEA&#10;AADbAAAADwAAAGRycy9kb3ducmV2LnhtbERPTWvCQBC9C/6HZYTe6qYexEZXCQW1vZnYCt6G7JhE&#10;s7Mhu8b037uC4G0e73MWq97UoqPWVZYVfIwjEMS51RUXCn736/cZCOeRNdaWScE/OVgth4MFxtre&#10;OKUu84UIIexiVFB638RSurwkg25sG+LAnWxr0AfYFlK3eAvhppaTKJpKgxWHhhIb+iopv2RXoyCN&#10;+r/ddLPV50Puus9kd8zS5Eept1GfzEF46v1L/HR/6zB/Ao9fwgF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AsRLBAAAA2wAAAA8AAAAAAAAAAAAAAAAAmAIAAGRycy9kb3du&#10;cmV2LnhtbFBLBQYAAAAABAAEAPUAAACGAwAAAAA=&#10;" path="m,l17,2863,7132,2578r,-2378l,xe" fillcolor="#a7bfde [1620]"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6cj8AA&#10;AADbAAAADwAAAGRycy9kb3ducmV2LnhtbERPy6rCMBDdX/AfwgjurqmKItUoIgriyheIu6EZ22oz&#10;KU201a83woW7m8N5znTemEI8qXK5ZQW9bgSCOLE651TB6bj+HYNwHlljYZkUvMjBfNb6mWKsbc17&#10;eh58KkIIuxgVZN6XsZQuycig69qSOHBXWxn0AVap1BXWIdwUsh9FI2kw59CQYUnLjJL74WEU3C4D&#10;5MYtt4PVe1fjY3jaXM93pTrtZjEB4anx/+I/90aH+SP4/hIOkL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6cj8AAAADbAAAADwAAAAAAAAAAAAAAAACYAgAAZHJzL2Rvd25y&#10;ZXYueG1sUEsFBgAAAAAEAAQA9QAAAIUDAAAAAA==&#10;" path="m,569l,2930r3466,620l3466,,,569xe" fillcolor="#d3dfee [820]" stroked="f">
                      <v:fill opacity="32896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fKZ8AA&#10;AADbAAAADwAAAGRycy9kb3ducmV2LnhtbERPTYvCMBC9L/gfwgje1lTdXaUaRQTB63ZFr2MztsFm&#10;UptY6/76jSDsbR7vcxarzlaipcYbxwpGwwQEce604ULB/mf7PgPhA7LGyjEpeJCH1bL3tsBUuzt/&#10;U5uFQsQQ9ikqKEOoUyl9XpJFP3Q1ceTOrrEYImwKqRu8x3BbyXGSfEmLhmNDiTVtSsov2c0qoPXk&#10;9/qZHU+nkTkc8no/Nh+tVWrQ79ZzEIG68C9+uXc6zp/C85d4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fKZ8AAAADbAAAADwAAAAAAAAAAAAAAAACYAgAAZHJzL2Rvd25y&#10;ZXYueG1sUEsFBgAAAAAEAAQA9QAAAIUDAAAAAA==&#10;" path="m,l,3550,1591,2746r,-2009l,xe" fillcolor="#a7bfde [1620]" stroked="f">
                      <v:fill opacity="32896f"/>
                      <v:path arrowok="t" o:connecttype="custom" o:connectlocs="0,0;0,3550;1591,2746;1591,737;0,0" o:connectangles="0,0,0,0,0"/>
                    </v:shape>
                  </v:group>
                  <v:shape id="Freeform 8"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ah2MUA&#10;AADbAAAADwAAAGRycy9kb3ducmV2LnhtbESPT2/CMAzF75P4DpGRdhspIE1TIaAB2h+OY5PgaBqv&#10;7dY4XZLRwqfHh0m72XrP7/08X/auUScKsfZsYDzKQBEX3tZcGvh4f7p7ABUTssXGMxk4U4TlYnAz&#10;x9z6jt/otEulkhCOORqoUmpzrWNRkcM48i2xaJ8+OEyyhlLbgJ2Eu0ZPsuxeO6xZGipsaV1R8b37&#10;dQa2m+MLTy/j59XXT7nahM7vp83BmNth/zgDlahP/+a/61cr+AIrv8gAe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qHYxQAAANsAAAAPAAAAAAAAAAAAAAAAAJgCAABkcnMv&#10;ZG93bnJldi54bWxQSwUGAAAAAAQABAD1AAAAigMAAAAA&#10;" path="m1,251l,2662r4120,251l4120,,1,251xe" fillcolor="#d8d8d8 [2732]" stroked="f">
                    <v:path arrowok="t" o:connecttype="custom" o:connectlocs="1,251;0,2662;4120,2913;4120,0;1,251" o:connectangles="0,0,0,0,0"/>
                  </v:shape>
                  <v:shape id="Freeform 9"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GTMIA&#10;AADbAAAADwAAAGRycy9kb3ducmV2LnhtbESPQYvCMBSE78L+h/AEL7Km9rBo1ygiW3DxZCt4fTTP&#10;Nti8lCZq/fcbYcHjMDPfMKvNYFtxp94bxwrmswQEceW04VrBqcw/FyB8QNbYOiYFT/KwWX+MVphp&#10;9+Aj3YtQiwhhn6GCJoQuk9JXDVn0M9cRR+/ieoshyr6WusdHhNtWpknyJS0ajgsNdrRrqLoWN6tg&#10;MKEtfpdpbtx5+lOe8+nu8LwpNRkP228QgYbwDv+391pBOofXl/g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psZMwgAAANsAAAAPAAAAAAAAAAAAAAAAAJgCAABkcnMvZG93&#10;bnJldi54bWxQSwUGAAAAAAQABAD1AAAAhwMAAAAA&#10;" path="m,l,4236,3985,3349r,-2428l,xe" fillcolor="#bfbfbf [2412]"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xc3sQA&#10;AADbAAAADwAAAGRycy9kb3ducmV2LnhtbESPQWuDQBSE74X+h+UVeqtrIoRiskoIDe2pYBrw+nBf&#10;VHTfGnebWH99NxDIcZiZb5hNPpleXGh0rWUFiygGQVxZ3XKt4Pizf3sH4Tyyxt4yKfgjB3n2/LTB&#10;VNsrF3Q5+FoECLsUFTTeD6mUrmrIoIvsQBy8kx0N+iDHWuoRrwFuermM45U02HJYaHCgXUNVd/g1&#10;CubSfp/kMM9JOe+7j/O52xafR6VeX6btGoSnyT/C9/aXVrBM4PYl/AC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XN7EAAAA2wAAAA8AAAAAAAAAAAAAAAAAmAIAAGRycy9k&#10;b3ducmV2LnhtbFBLBQYAAAAABAAEAPUAAACJAwAAAAA=&#10;" path="m4086,r-2,4253l,3198,,1072,4086,xe" fillcolor="#d8d8d8 [2732]"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2vsMA&#10;AADbAAAADwAAAGRycy9kb3ducmV2LnhtbESPQWvCQBSE7wX/w/IEL1I3prXY6CoqFAqejILXR/Y1&#10;CWbfht1NjP/eLRR6HGbmG2a9HUwjenK+tqxgPktAEBdW11wquJy/XpcgfEDW2FgmBQ/ysN2MXtaY&#10;aXvnE/V5KEWEsM9QQRVCm0npi4oM+pltiaP3Y53BEKUrpXZ4j3DTyDRJPqTBmuNChS0dKipueWcU&#10;5J84dItk1+d7unTT6/SYHt+cUpPxsFuBCDSE//Bf+1srSN/h90v8AX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52vsMAAADbAAAADwAAAAAAAAAAAAAAAACYAgAAZHJzL2Rv&#10;d25yZXYueG1sUEsFBgAAAAAEAAQA9QAAAIgDAAAAAA==&#10;" path="m,921l2060,r16,3851l,2981,,921xe" fillcolor="#d3dfee [820]" stroked="f">
                    <v:fill opacity="46003f"/>
                    <v:path arrowok="t" o:connecttype="custom" o:connectlocs="0,921;2060,0;2076,3851;0,2981;0,921" o:connectangles="0,0,0,0,0"/>
                  </v:shape>
                  <v:shape id="Freeform 12"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FL8QA&#10;AADbAAAADwAAAGRycy9kb3ducmV2LnhtbESPQWvCQBSE70L/w/IKvenGUKKNrlIExZOoteDxkX0m&#10;odm3MbvG6K93BaHHYWa+YabzzlSipcaVlhUMBxEI4szqknMFh59lfwzCeWSNlWVScCMH89lbb4qp&#10;tlfeUbv3uQgQdikqKLyvUyldVpBBN7A1cfBOtjHog2xyqRu8BripZBxFiTRYclgosKZFQdnf/mIU&#10;tNXm0CXD+Gu7Oh/vJxr/jj55qdTHe/c9AeGp8//hV3utFcQJ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rBS/EAAAA2wAAAA8AAAAAAAAAAAAAAAAAmAIAAGRycy9k&#10;b3ducmV2LnhtbFBLBQYAAAAABAAEAPUAAACJAwAAAAA=&#10;" path="m,l17,3835,6011,2629r,-1390l,xe" fillcolor="#a7bfde [1620]" stroked="f">
                    <v:fill opacity="46003f"/>
                    <v:path arrowok="t" o:connecttype="custom" o:connectlocs="0,0;17,3835;6011,2629;6011,1239;0,0" o:connectangles="0,0,0,0,0"/>
                  </v:shape>
                  <v:shape id="Freeform 13"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PcEA&#10;AADbAAAADwAAAGRycy9kb3ducmV2LnhtbESPQYvCMBSE74L/ITzBi6zpqux2u0YRQfDgRd0f8Gie&#10;SbF5KU221n9vBMHjMDPfMMt172rRURsqzwo+pxkI4tLrio2Cv/PuIwcRIrLG2jMpuFOA9Wo4WGKh&#10;/Y2P1J2iEQnCoUAFNsamkDKUlhyGqW+Ik3fxrcOYZGukbvGW4K6Wsyz7kg4rTgsWG9paKq+nf6cg&#10;RzmZ86XvrvkR3WH+Y2yzMEqNR/3mF0SkPr7Dr/ZeK5h9w/NL+g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kPz3BAAAA2wAAAA8AAAAAAAAAAAAAAAAAmAIAAGRycy9kb3du&#10;cmV2LnhtbFBLBQYAAAAABAAEAPUAAACGAwAAAAA=&#10;" path="m,1038l,2411,4102,3432,4102,,,1038xe" fillcolor="#d3dfee [820]" stroked="f">
                    <v:fill opacity="46003f"/>
                    <v:path arrowok="t" o:connecttype="custom" o:connectlocs="0,1038;0,2411;4102,3432;4102,0;0,1038" o:connectangles="0,0,0,0,0"/>
                  </v:shape>
                </v:group>
                <v:rect id="Rectangle 14" o:spid="_x0000_s1038" style="position:absolute;left:1800;top:1440;width:8639;height:9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MsAA&#10;AADbAAAADwAAAGRycy9kb3ducmV2LnhtbERPzYrCMBC+C75DGMGLrKmyqNs1iqgL1ZvVB5htxrba&#10;TEoTtb69OQgeP77/+bI1lbhT40rLCkbDCARxZnXJuYLT8e9rBsJ5ZI2VZVLwJAfLRbczx1jbBx/o&#10;nvpchBB2MSoovK9jKV1WkEE3tDVx4M62MegDbHKpG3yEcFPJcRRNpMGSQ0OBNa0Lyq7pzSjY7b/3&#10;p3UiL9efcjNIpmkk/ydbpfq9dvULwlPrP+K3O9EKxmFs+BJ+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L/MsAAAADbAAAADwAAAAAAAAAAAAAAAACYAgAAZHJzL2Rvd25y&#10;ZXYueG1sUEsFBgAAAAAEAAQA9QAAAIUDAAAAAA==&#10;" filled="f" stroked="f">
                  <v:textbox style="mso-fit-shape-to-text:t">
                    <w:txbxContent>
                      <w:sdt>
                        <w:sdtPr>
                          <w:rPr>
                            <w:b/>
                            <w:bCs/>
                            <w:color w:val="808080" w:themeColor="text1" w:themeTint="7F"/>
                            <w:sz w:val="32"/>
                            <w:szCs w:val="32"/>
                            <w:lang w:val="nl-NL"/>
                          </w:rPr>
                          <w:alias w:val="Bedrijf"/>
                          <w:id w:val="15866524"/>
                          <w:dataBinding w:prefixMappings="xmlns:ns0='http://schemas.openxmlformats.org/officeDocument/2006/extended-properties'" w:xpath="/ns0:Properties[1]/ns0:Company[1]" w:storeItemID="{6668398D-A668-4E3E-A5EB-62B293D839F1}"/>
                          <w:text/>
                        </w:sdtPr>
                        <w:sdtContent>
                          <w:p w:rsidR="00397171" w:rsidRDefault="00397171">
                            <w:pPr>
                              <w:spacing w:after="0"/>
                              <w:jc w:val="center"/>
                              <w:rPr>
                                <w:b/>
                                <w:bCs/>
                                <w:color w:val="808080" w:themeColor="text1" w:themeTint="7F"/>
                                <w:sz w:val="32"/>
                                <w:szCs w:val="32"/>
                                <w:lang w:val="nl-NL"/>
                              </w:rPr>
                            </w:pPr>
                            <w:r>
                              <w:rPr>
                                <w:b/>
                                <w:bCs/>
                                <w:color w:val="808080" w:themeColor="text1" w:themeTint="7F"/>
                                <w:sz w:val="32"/>
                                <w:szCs w:val="32"/>
                                <w:lang w:val="nl-NL"/>
                              </w:rPr>
                              <w:t>CFL</w:t>
                            </w:r>
                          </w:p>
                        </w:sdtContent>
                      </w:sdt>
                      <w:p w:rsidR="00397171" w:rsidRDefault="00397171">
                        <w:pPr>
                          <w:spacing w:after="0"/>
                          <w:rPr>
                            <w:b/>
                            <w:bCs/>
                            <w:color w:val="808080" w:themeColor="text1" w:themeTint="7F"/>
                            <w:sz w:val="32"/>
                            <w:szCs w:val="32"/>
                            <w:lang w:val="nl-NL"/>
                          </w:rPr>
                        </w:pPr>
                      </w:p>
                    </w:txbxContent>
                  </v:textbox>
                </v:rect>
                <v:rect id="Rectangle 15" o:spid="_x0000_s1039" style="position:absolute;left:6494;top:11160;width:4998;height:1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5aqcUA&#10;AADbAAAADwAAAGRycy9kb3ducmV2LnhtbESP0WrCQBRE3wv+w3ILvhTdNBSrqWuQVCH1rdEPuGZv&#10;k9Ts3ZBdY/r33ULBx2FmzjDrdDStGKh3jWUFz/MIBHFpdcOVgtNxP1uCcB5ZY2uZFPyQg3QzeVhj&#10;ou2NP2kofCUChF2CCmrvu0RKV9Zk0M1tRxy8L9sb9EH2ldQ93gLctDKOooU02HBYqLGjrKbyUlyN&#10;go/Dy+GU5fL7smren/LXIpLnxU6p6eO4fQPhafT38H871wriFfx9C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3lqpxQAAANsAAAAPAAAAAAAAAAAAAAAAAJgCAABkcnMv&#10;ZG93bnJldi54bWxQSwUGAAAAAAQABAD1AAAAigMAAAAA&#10;" filled="f" stroked="f">
                  <v:textbox style="mso-fit-shape-to-text:t">
                    <w:txbxContent>
                      <w:p w:rsidR="00397171" w:rsidRDefault="00397171">
                        <w:pPr>
                          <w:jc w:val="right"/>
                          <w:rPr>
                            <w:sz w:val="96"/>
                            <w:szCs w:val="96"/>
                            <w:lang w:val="en-GB"/>
                          </w:rPr>
                        </w:pPr>
                        <w:r>
                          <w:rPr>
                            <w:sz w:val="96"/>
                            <w:szCs w:val="96"/>
                            <w:lang w:val="en-GB"/>
                          </w:rPr>
                          <w:t>2016</w:t>
                        </w:r>
                      </w:p>
                    </w:txbxContent>
                  </v:textbox>
                </v:rect>
                <v:rect id="Rectangle 16" o:spid="_x0000_s1040" style="position:absolute;left:1800;top:2294;width:8638;height:726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XKb8A&#10;AADbAAAADwAAAGRycy9kb3ducmV2LnhtbERPzWoCMRC+F3yHMEJvNasFka1RRBErVEHrA4ybcXdx&#10;M1mSVNe37xwEjx/f/3TeuUbdKMTas4HhIANFXHhbc2ng9Lv+mICKCdli45kMPCjCfNZ7m2Ju/Z0P&#10;dDumUkkIxxwNVCm1udaxqMhhHPiWWLiLDw6TwFBqG/Au4a7Roywba4c1S0OFLS0rKq7HP2fg82e/&#10;D7vVdT3OVqct+9AtN+eDMe/9bvEFKlGXXuKn+9uKT9bLF/kBev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ctcpvwAAANsAAAAPAAAAAAAAAAAAAAAAAJgCAABkcnMvZG93bnJl&#10;di54bWxQSwUGAAAAAAQABAD1AAAAhAMAAAAA&#10;" filled="f" stroked="f">
                  <v:textbox>
                    <w:txbxContent>
                      <w:p w:rsidR="00397171" w:rsidRDefault="00397171">
                        <w:pPr>
                          <w:spacing w:after="0"/>
                          <w:jc w:val="center"/>
                          <w:rPr>
                            <w:b/>
                            <w:bCs/>
                            <w:color w:val="1F497D" w:themeColor="text2"/>
                            <w:sz w:val="72"/>
                            <w:szCs w:val="72"/>
                          </w:rPr>
                        </w:pPr>
                        <w:r>
                          <w:rPr>
                            <w:b/>
                            <w:bCs/>
                            <w:color w:val="1F497D" w:themeColor="text2"/>
                            <w:sz w:val="72"/>
                            <w:szCs w:val="72"/>
                          </w:rPr>
                          <w:t>"Theoretically retrofitting a scrubber installation onboard of the vessel type Sole 10.000"</w:t>
                        </w:r>
                      </w:p>
                      <w:sdt>
                        <w:sdtPr>
                          <w:rPr>
                            <w:b/>
                            <w:bCs/>
                            <w:color w:val="4F81BD" w:themeColor="accent1"/>
                            <w:sz w:val="40"/>
                            <w:szCs w:val="40"/>
                          </w:rPr>
                          <w:alias w:val="Ondertitel"/>
                          <w:id w:val="15866538"/>
                          <w:dataBinding w:prefixMappings="xmlns:ns0='http://schemas.openxmlformats.org/package/2006/metadata/core-properties' xmlns:ns1='http://purl.org/dc/elements/1.1/'" w:xpath="/ns0:coreProperties[1]/ns1:subject[1]" w:storeItemID="{6C3C8BC8-F283-45AE-878A-BAB7291924A1}"/>
                          <w:text/>
                        </w:sdtPr>
                        <w:sdtContent>
                          <w:p w:rsidR="00397171" w:rsidRDefault="00397171">
                            <w:pPr>
                              <w:jc w:val="center"/>
                              <w:rPr>
                                <w:b/>
                                <w:bCs/>
                                <w:color w:val="4F81BD" w:themeColor="accent1"/>
                                <w:sz w:val="40"/>
                                <w:szCs w:val="40"/>
                              </w:rPr>
                            </w:pPr>
                            <w:r>
                              <w:rPr>
                                <w:b/>
                                <w:bCs/>
                                <w:color w:val="4F81BD" w:themeColor="accent1"/>
                                <w:sz w:val="40"/>
                                <w:szCs w:val="40"/>
                              </w:rPr>
                              <w:t>Thesis</w:t>
                            </w:r>
                          </w:p>
                        </w:sdtContent>
                      </w:sdt>
                      <w:sdt>
                        <w:sdtPr>
                          <w:rPr>
                            <w:b/>
                            <w:bCs/>
                            <w:color w:val="808080" w:themeColor="text1" w:themeTint="7F"/>
                            <w:sz w:val="32"/>
                            <w:szCs w:val="32"/>
                          </w:rPr>
                          <w:alias w:val="Auteur"/>
                          <w:id w:val="15866544"/>
                          <w:dataBinding w:prefixMappings="xmlns:ns0='http://schemas.openxmlformats.org/package/2006/metadata/core-properties' xmlns:ns1='http://purl.org/dc/elements/1.1/'" w:xpath="/ns0:coreProperties[1]/ns1:creator[1]" w:storeItemID="{6C3C8BC8-F283-45AE-878A-BAB7291924A1}"/>
                          <w:text/>
                        </w:sdtPr>
                        <w:sdtContent>
                          <w:p w:rsidR="00397171" w:rsidRDefault="00397171">
                            <w:pPr>
                              <w:jc w:val="center"/>
                              <w:rPr>
                                <w:b/>
                                <w:bCs/>
                                <w:color w:val="808080" w:themeColor="text1" w:themeTint="7F"/>
                                <w:sz w:val="32"/>
                                <w:szCs w:val="32"/>
                              </w:rPr>
                            </w:pPr>
                            <w:r>
                              <w:rPr>
                                <w:b/>
                                <w:bCs/>
                                <w:color w:val="808080" w:themeColor="text1" w:themeTint="7F"/>
                                <w:sz w:val="32"/>
                                <w:szCs w:val="32"/>
                              </w:rPr>
                              <w:t xml:space="preserve">Jonas </w:t>
                            </w:r>
                            <w:proofErr w:type="spellStart"/>
                            <w:r>
                              <w:rPr>
                                <w:b/>
                                <w:bCs/>
                                <w:color w:val="808080" w:themeColor="text1" w:themeTint="7F"/>
                                <w:sz w:val="32"/>
                                <w:szCs w:val="32"/>
                              </w:rPr>
                              <w:t>Boelens</w:t>
                            </w:r>
                            <w:proofErr w:type="spellEnd"/>
                          </w:p>
                        </w:sdtContent>
                      </w:sdt>
                      <w:p w:rsidR="00397171" w:rsidRDefault="00397171">
                        <w:pPr>
                          <w:jc w:val="center"/>
                          <w:rPr>
                            <w:b/>
                            <w:bCs/>
                            <w:color w:val="808080" w:themeColor="text1" w:themeTint="7F"/>
                            <w:sz w:val="32"/>
                            <w:szCs w:val="32"/>
                          </w:rPr>
                        </w:pPr>
                      </w:p>
                      <w:p w:rsidR="00397171" w:rsidRDefault="00397171">
                        <w:pPr>
                          <w:rPr>
                            <w:b/>
                            <w:bCs/>
                            <w:color w:val="808080" w:themeColor="text1" w:themeTint="7F"/>
                            <w:sz w:val="32"/>
                            <w:szCs w:val="32"/>
                            <w:lang w:val="nl-NL"/>
                          </w:rPr>
                        </w:pPr>
                      </w:p>
                    </w:txbxContent>
                  </v:textbox>
                </v:rect>
                <w10:wrap anchorx="page" anchory="margin"/>
              </v:group>
            </w:pict>
          </w:r>
        </w:p>
        <w:p w:rsidR="00481FD4" w:rsidRDefault="00481FD4">
          <w:pPr>
            <w:rPr>
              <w:lang w:val="nl-NL"/>
            </w:rPr>
          </w:pPr>
        </w:p>
        <w:p w:rsidR="00481FD4" w:rsidRDefault="00405508">
          <w:r>
            <w:br w:type="page"/>
          </w:r>
        </w:p>
      </w:sdtContent>
    </w:sdt>
    <w:p w:rsidR="00481FD4" w:rsidRDefault="00481FD4">
      <w:pPr>
        <w:pStyle w:val="Geenafstand"/>
        <w:tabs>
          <w:tab w:val="left" w:pos="450"/>
        </w:tabs>
        <w:jc w:val="center"/>
        <w:rPr>
          <w:sz w:val="52"/>
          <w:szCs w:val="52"/>
          <w:lang w:val="en-US"/>
        </w:rPr>
      </w:pPr>
    </w:p>
    <w:p w:rsidR="00481FD4" w:rsidRDefault="00481FD4">
      <w:pPr>
        <w:pStyle w:val="Geenafstand"/>
        <w:tabs>
          <w:tab w:val="left" w:pos="450"/>
        </w:tabs>
        <w:jc w:val="center"/>
        <w:rPr>
          <w:sz w:val="52"/>
          <w:szCs w:val="52"/>
          <w:lang w:val="en-US"/>
        </w:rPr>
      </w:pPr>
    </w:p>
    <w:p w:rsidR="00481FD4" w:rsidRDefault="00481FD4">
      <w:pPr>
        <w:pStyle w:val="Geenafstand"/>
        <w:tabs>
          <w:tab w:val="left" w:pos="450"/>
        </w:tabs>
        <w:jc w:val="center"/>
        <w:rPr>
          <w:sz w:val="52"/>
          <w:szCs w:val="52"/>
          <w:lang w:val="en-US"/>
        </w:rPr>
      </w:pPr>
    </w:p>
    <w:p w:rsidR="00481FD4" w:rsidRDefault="00481FD4">
      <w:pPr>
        <w:pStyle w:val="Geenafstand"/>
        <w:tabs>
          <w:tab w:val="left" w:pos="450"/>
        </w:tabs>
        <w:jc w:val="center"/>
        <w:rPr>
          <w:sz w:val="52"/>
          <w:szCs w:val="52"/>
          <w:lang w:val="en-US"/>
        </w:rPr>
      </w:pPr>
    </w:p>
    <w:p w:rsidR="00481FD4" w:rsidRDefault="00481FD4">
      <w:pPr>
        <w:pStyle w:val="Geenafstand"/>
        <w:tabs>
          <w:tab w:val="left" w:pos="450"/>
        </w:tabs>
        <w:jc w:val="center"/>
        <w:rPr>
          <w:sz w:val="52"/>
          <w:szCs w:val="52"/>
          <w:lang w:val="en-US"/>
        </w:rPr>
      </w:pPr>
    </w:p>
    <w:p w:rsidR="00481FD4" w:rsidRDefault="00481FD4">
      <w:pPr>
        <w:pStyle w:val="Geenafstand"/>
        <w:tabs>
          <w:tab w:val="left" w:pos="450"/>
        </w:tabs>
        <w:jc w:val="center"/>
        <w:rPr>
          <w:sz w:val="52"/>
          <w:szCs w:val="52"/>
          <w:lang w:val="en-US"/>
        </w:rPr>
      </w:pPr>
    </w:p>
    <w:p w:rsidR="00481FD4" w:rsidRDefault="00481FD4">
      <w:pPr>
        <w:pStyle w:val="Geenafstand"/>
        <w:tabs>
          <w:tab w:val="left" w:pos="450"/>
        </w:tabs>
        <w:jc w:val="center"/>
        <w:rPr>
          <w:sz w:val="52"/>
          <w:szCs w:val="52"/>
          <w:lang w:val="en-US"/>
        </w:rPr>
      </w:pPr>
    </w:p>
    <w:p w:rsidR="00481FD4" w:rsidRDefault="00405508">
      <w:pPr>
        <w:pStyle w:val="Geenafstand"/>
        <w:jc w:val="center"/>
        <w:rPr>
          <w:sz w:val="32"/>
          <w:szCs w:val="32"/>
          <w:lang w:val="en-US"/>
        </w:rPr>
      </w:pPr>
      <w:r>
        <w:rPr>
          <w:sz w:val="32"/>
          <w:szCs w:val="32"/>
          <w:lang w:val="en-US"/>
        </w:rPr>
        <w:t>HZ University of Applied Sciences</w:t>
      </w:r>
    </w:p>
    <w:p w:rsidR="00481FD4" w:rsidRDefault="00405508">
      <w:pPr>
        <w:pStyle w:val="Geenafstand"/>
        <w:jc w:val="center"/>
        <w:rPr>
          <w:sz w:val="32"/>
          <w:szCs w:val="32"/>
          <w:lang w:val="en-US"/>
        </w:rPr>
      </w:pPr>
      <w:r>
        <w:rPr>
          <w:sz w:val="32"/>
          <w:szCs w:val="32"/>
          <w:lang w:val="en-US"/>
        </w:rPr>
        <w:t xml:space="preserve">De </w:t>
      </w:r>
      <w:proofErr w:type="spellStart"/>
      <w:r>
        <w:rPr>
          <w:sz w:val="32"/>
          <w:szCs w:val="32"/>
          <w:lang w:val="en-US"/>
        </w:rPr>
        <w:t>Ruyter</w:t>
      </w:r>
      <w:proofErr w:type="spellEnd"/>
      <w:r>
        <w:rPr>
          <w:sz w:val="32"/>
          <w:szCs w:val="32"/>
          <w:lang w:val="en-US"/>
        </w:rPr>
        <w:t xml:space="preserve"> Academy</w:t>
      </w:r>
    </w:p>
    <w:p w:rsidR="00481FD4" w:rsidRDefault="00481FD4">
      <w:pPr>
        <w:pStyle w:val="Geenafstand"/>
        <w:jc w:val="center"/>
        <w:rPr>
          <w:sz w:val="32"/>
          <w:szCs w:val="32"/>
          <w:lang w:val="en-US"/>
        </w:rPr>
      </w:pPr>
    </w:p>
    <w:p w:rsidR="00481FD4" w:rsidRDefault="00405508">
      <w:pPr>
        <w:pStyle w:val="Geenafstand"/>
        <w:jc w:val="center"/>
        <w:rPr>
          <w:sz w:val="32"/>
          <w:szCs w:val="32"/>
        </w:rPr>
      </w:pPr>
      <w:r>
        <w:rPr>
          <w:sz w:val="32"/>
          <w:szCs w:val="32"/>
        </w:rPr>
        <w:t>CFL</w:t>
      </w:r>
    </w:p>
    <w:p w:rsidR="00481FD4" w:rsidRDefault="00405508">
      <w:pPr>
        <w:pStyle w:val="Geenafstand"/>
        <w:jc w:val="center"/>
        <w:rPr>
          <w:sz w:val="32"/>
          <w:szCs w:val="32"/>
        </w:rPr>
      </w:pPr>
      <w:r>
        <w:rPr>
          <w:sz w:val="32"/>
          <w:szCs w:val="32"/>
        </w:rPr>
        <w:t>Marvel Scan</w:t>
      </w:r>
    </w:p>
    <w:p w:rsidR="00481FD4" w:rsidRDefault="00405508">
      <w:pPr>
        <w:pStyle w:val="Geenafstand"/>
        <w:jc w:val="center"/>
        <w:rPr>
          <w:sz w:val="32"/>
          <w:szCs w:val="32"/>
        </w:rPr>
      </w:pPr>
      <w:r>
        <w:rPr>
          <w:sz w:val="32"/>
          <w:szCs w:val="32"/>
        </w:rPr>
        <w:t>Jonas Boelens</w:t>
      </w:r>
    </w:p>
    <w:p w:rsidR="00481FD4" w:rsidRDefault="00405508">
      <w:pPr>
        <w:pStyle w:val="Geenafstand"/>
        <w:jc w:val="center"/>
        <w:rPr>
          <w:sz w:val="32"/>
          <w:szCs w:val="32"/>
        </w:rPr>
      </w:pPr>
      <w:r>
        <w:rPr>
          <w:sz w:val="32"/>
          <w:szCs w:val="32"/>
        </w:rPr>
        <w:t>4Marof</w:t>
      </w:r>
    </w:p>
    <w:p w:rsidR="00C16C00" w:rsidRDefault="00C16C00">
      <w:pPr>
        <w:pStyle w:val="Geenafstand"/>
        <w:jc w:val="center"/>
        <w:rPr>
          <w:sz w:val="32"/>
          <w:szCs w:val="32"/>
        </w:rPr>
      </w:pPr>
    </w:p>
    <w:p w:rsidR="00481FD4" w:rsidRDefault="00405508">
      <w:pPr>
        <w:pStyle w:val="Geenafstand"/>
        <w:jc w:val="center"/>
        <w:rPr>
          <w:sz w:val="32"/>
          <w:szCs w:val="32"/>
          <w:lang w:val="en-US"/>
        </w:rPr>
      </w:pPr>
      <w:r>
        <w:rPr>
          <w:sz w:val="32"/>
          <w:szCs w:val="32"/>
          <w:lang w:val="en-US"/>
        </w:rPr>
        <w:t xml:space="preserve">January - </w:t>
      </w:r>
      <w:r w:rsidR="00360504">
        <w:rPr>
          <w:sz w:val="32"/>
          <w:szCs w:val="32"/>
          <w:lang w:val="en-US"/>
        </w:rPr>
        <w:t>August</w:t>
      </w:r>
      <w:r>
        <w:rPr>
          <w:sz w:val="32"/>
          <w:szCs w:val="32"/>
          <w:lang w:val="en-US"/>
        </w:rPr>
        <w:t xml:space="preserve"> 2016</w:t>
      </w:r>
    </w:p>
    <w:p w:rsidR="00481FD4" w:rsidRDefault="00405508">
      <w:pPr>
        <w:pStyle w:val="Geenafstand"/>
        <w:jc w:val="center"/>
        <w:rPr>
          <w:sz w:val="32"/>
          <w:szCs w:val="32"/>
          <w:lang w:val="en-US"/>
        </w:rPr>
      </w:pPr>
      <w:r>
        <w:rPr>
          <w:sz w:val="32"/>
          <w:szCs w:val="32"/>
          <w:lang w:val="en-US"/>
        </w:rPr>
        <w:t>Semester 8</w:t>
      </w:r>
    </w:p>
    <w:p w:rsidR="00481FD4" w:rsidRDefault="00481FD4">
      <w:pPr>
        <w:pStyle w:val="Geenafstand"/>
        <w:jc w:val="center"/>
        <w:rPr>
          <w:sz w:val="32"/>
          <w:szCs w:val="32"/>
          <w:lang w:val="en-US"/>
        </w:rPr>
      </w:pPr>
    </w:p>
    <w:p w:rsidR="0074515A" w:rsidRPr="00B55B94" w:rsidRDefault="00405508" w:rsidP="00B55B94">
      <w:pPr>
        <w:rPr>
          <w:b/>
          <w:color w:val="4F81BD" w:themeColor="accent1"/>
          <w:sz w:val="28"/>
          <w:szCs w:val="28"/>
        </w:rPr>
      </w:pPr>
      <w:r>
        <w:br w:type="page"/>
      </w:r>
      <w:r w:rsidRPr="00D22E5D">
        <w:rPr>
          <w:b/>
          <w:color w:val="4F81BD" w:themeColor="accent1"/>
          <w:sz w:val="28"/>
          <w:szCs w:val="28"/>
        </w:rPr>
        <w:lastRenderedPageBreak/>
        <w:t>Abstract</w:t>
      </w:r>
    </w:p>
    <w:p w:rsidR="00A57110" w:rsidRDefault="00A57110" w:rsidP="003B7757">
      <w:pPr>
        <w:jc w:val="both"/>
        <w:rPr>
          <w:lang w:val="en-GB"/>
        </w:rPr>
      </w:pPr>
      <w:r>
        <w:rPr>
          <w:lang w:val="en-GB"/>
        </w:rPr>
        <w:t xml:space="preserve">This document has been prepared to advise vessel owners and charterers about the fuel sulphur reduction options and implications </w:t>
      </w:r>
      <w:r w:rsidR="005F636E">
        <w:rPr>
          <w:lang w:val="en-GB"/>
        </w:rPr>
        <w:t>regarding to the introduction of 0.10% m/m sulphur distillate in the ECA's from 1 January 2015. There are also general sections to provide information on legislation and information about the several systems.</w:t>
      </w:r>
      <w:r w:rsidR="00EF1755">
        <w:rPr>
          <w:lang w:val="en-GB"/>
        </w:rPr>
        <w:t xml:space="preserve"> </w:t>
      </w:r>
    </w:p>
    <w:p w:rsidR="005F636E" w:rsidRDefault="005F636E" w:rsidP="003B7757">
      <w:pPr>
        <w:jc w:val="both"/>
        <w:rPr>
          <w:lang w:val="en-GB"/>
        </w:rPr>
      </w:pPr>
      <w:r>
        <w:rPr>
          <w:lang w:val="en-GB"/>
        </w:rPr>
        <w:t>IMO MARPOL Annex VI provides the legislative framework for fuel sulphur reductions and the associated timing. The relevant parts of this legislation are in the document and the implications of the changes are analysed.</w:t>
      </w:r>
    </w:p>
    <w:p w:rsidR="000B05D2" w:rsidRDefault="003B7757" w:rsidP="003B7757">
      <w:pPr>
        <w:jc w:val="both"/>
        <w:rPr>
          <w:lang w:val="en-GB"/>
        </w:rPr>
      </w:pPr>
      <w:r>
        <w:rPr>
          <w:lang w:val="en-GB"/>
        </w:rPr>
        <w:t xml:space="preserve">During this research the specific precautions which </w:t>
      </w:r>
      <w:r w:rsidR="005F636E">
        <w:rPr>
          <w:lang w:val="en-GB"/>
        </w:rPr>
        <w:t xml:space="preserve">CFL </w:t>
      </w:r>
      <w:r>
        <w:rPr>
          <w:lang w:val="en-GB"/>
        </w:rPr>
        <w:t>can take to protect our environment from air pollution caused by the use of sulphur containing fuel oils will be the central matter.</w:t>
      </w:r>
      <w:r w:rsidR="007E48E7">
        <w:rPr>
          <w:lang w:val="en-GB"/>
        </w:rPr>
        <w:t xml:space="preserve"> </w:t>
      </w:r>
      <w:r>
        <w:rPr>
          <w:lang w:val="en-GB"/>
        </w:rPr>
        <w:t>Because of the tightening-up of the sulphur regulations and the expansion of the ECA</w:t>
      </w:r>
      <w:r w:rsidR="005F636E">
        <w:rPr>
          <w:lang w:val="en-GB"/>
        </w:rPr>
        <w:t>'</w:t>
      </w:r>
      <w:r>
        <w:rPr>
          <w:lang w:val="en-GB"/>
        </w:rPr>
        <w:t>s, the company CFL likes to determine if the installation of a scrubber is a possible and a dignified alternative. The determination wil</w:t>
      </w:r>
      <w:r w:rsidR="007E48E7">
        <w:rPr>
          <w:lang w:val="en-GB"/>
        </w:rPr>
        <w:t>l be done during this research</w:t>
      </w:r>
      <w:r w:rsidR="000B05D2">
        <w:rPr>
          <w:lang w:val="en-GB"/>
        </w:rPr>
        <w:t xml:space="preserve"> out of a</w:t>
      </w:r>
      <w:r w:rsidR="006870C1">
        <w:rPr>
          <w:lang w:val="en-GB"/>
        </w:rPr>
        <w:t xml:space="preserve"> technical and </w:t>
      </w:r>
      <w:r w:rsidR="000B05D2">
        <w:rPr>
          <w:lang w:val="en-GB"/>
        </w:rPr>
        <w:t>financial</w:t>
      </w:r>
      <w:r w:rsidR="006870C1">
        <w:rPr>
          <w:lang w:val="en-GB"/>
        </w:rPr>
        <w:t xml:space="preserve"> </w:t>
      </w:r>
      <w:r w:rsidR="000B05D2">
        <w:rPr>
          <w:lang w:val="en-GB"/>
        </w:rPr>
        <w:t>approach</w:t>
      </w:r>
      <w:r w:rsidR="006870C1">
        <w:rPr>
          <w:lang w:val="en-GB"/>
        </w:rPr>
        <w:t>. This</w:t>
      </w:r>
      <w:r w:rsidR="007E48E7">
        <w:rPr>
          <w:lang w:val="en-GB"/>
        </w:rPr>
        <w:t xml:space="preserve"> </w:t>
      </w:r>
      <w:r>
        <w:rPr>
          <w:lang w:val="en-GB"/>
        </w:rPr>
        <w:t>lea</w:t>
      </w:r>
      <w:r w:rsidR="007E48E7">
        <w:rPr>
          <w:lang w:val="en-GB"/>
        </w:rPr>
        <w:t>ds us to the research question of this paper:</w:t>
      </w:r>
    </w:p>
    <w:p w:rsidR="00C7649C" w:rsidRDefault="003B7757" w:rsidP="003B7757">
      <w:pPr>
        <w:jc w:val="both"/>
        <w:rPr>
          <w:lang w:val="en-GB"/>
        </w:rPr>
      </w:pPr>
      <w:r>
        <w:rPr>
          <w:lang w:val="en-GB"/>
        </w:rPr>
        <w:t>"Is it possible and economical to install a scrubber onboard of the</w:t>
      </w:r>
      <w:r w:rsidR="00C55CCC">
        <w:rPr>
          <w:lang w:val="en-GB"/>
        </w:rPr>
        <w:t xml:space="preserve"> vessel</w:t>
      </w:r>
      <w:r>
        <w:rPr>
          <w:lang w:val="en-GB"/>
        </w:rPr>
        <w:t xml:space="preserve"> type 'Sole 10.000' to comply with the </w:t>
      </w:r>
      <w:proofErr w:type="spellStart"/>
      <w:r>
        <w:rPr>
          <w:lang w:val="en-GB"/>
        </w:rPr>
        <w:t>SOx</w:t>
      </w:r>
      <w:proofErr w:type="spellEnd"/>
      <w:r>
        <w:rPr>
          <w:lang w:val="en-GB"/>
        </w:rPr>
        <w:t xml:space="preserve"> regulations whilst using HFO?"</w:t>
      </w:r>
    </w:p>
    <w:p w:rsidR="004E0751" w:rsidRPr="004E0751" w:rsidRDefault="009263C3" w:rsidP="004E0751">
      <w:pPr>
        <w:jc w:val="both"/>
        <w:rPr>
          <w:lang w:val="en-GB"/>
        </w:rPr>
      </w:pPr>
      <w:r>
        <w:rPr>
          <w:lang w:val="en-GB"/>
        </w:rPr>
        <w:t xml:space="preserve">The well found </w:t>
      </w:r>
      <w:r w:rsidR="00EF1755">
        <w:rPr>
          <w:lang w:val="en-GB"/>
        </w:rPr>
        <w:t>answer to this question</w:t>
      </w:r>
      <w:r>
        <w:rPr>
          <w:lang w:val="en-GB"/>
        </w:rPr>
        <w:t xml:space="preserve"> follow</w:t>
      </w:r>
      <w:r w:rsidR="00EF1755">
        <w:rPr>
          <w:lang w:val="en-GB"/>
        </w:rPr>
        <w:t>s</w:t>
      </w:r>
      <w:r>
        <w:rPr>
          <w:lang w:val="en-GB"/>
        </w:rPr>
        <w:t xml:space="preserve"> after </w:t>
      </w:r>
      <w:r w:rsidR="00EF1755">
        <w:rPr>
          <w:lang w:val="en-GB"/>
        </w:rPr>
        <w:t xml:space="preserve">discussing and analyzing the technical and economic considerations. </w:t>
      </w:r>
      <w:r w:rsidR="004E0751">
        <w:t>Retrofitting the complete scrubber installation into the vessels original body is not possible. Even after a conversion of the exhaust gas casing to fit the scrubbing tower, there is still not enough place available to install the auxiliary equipment of the exhaust gas cleaning system. From a technical point of view it is not feasible to install the scrubber installation onboard of a Sole 10.000.</w:t>
      </w:r>
    </w:p>
    <w:p w:rsidR="004E0751" w:rsidRDefault="004E0751" w:rsidP="004E0751">
      <w:pPr>
        <w:jc w:val="both"/>
      </w:pPr>
      <w:r>
        <w:t>The payback period of the scrubber is primarily sensitive to the price spread between HFO and MGO and not less sensitive to CAPEX and the absolute HFO price. 100% and 50% ECA operation give a payback period of respectively four and seven years, assuming an HFO-MGO spread of 176 USD/ton.</w:t>
      </w:r>
    </w:p>
    <w:p w:rsidR="004E0751" w:rsidRDefault="004E0751" w:rsidP="004E0751">
      <w:pPr>
        <w:jc w:val="both"/>
      </w:pPr>
      <w:r>
        <w:t xml:space="preserve">For the vessel type Sole 10.000 with 5% (maximum 10% </w:t>
      </w:r>
      <w:sdt>
        <w:sdtPr>
          <w:id w:val="-2030540134"/>
          <w:citation/>
        </w:sdtPr>
        <w:sdtContent>
          <w:fldSimple w:instr=" CITATION CFL \l 2067 ">
            <w:r>
              <w:rPr>
                <w:noProof/>
              </w:rPr>
              <w:t>(CFL)</w:t>
            </w:r>
          </w:fldSimple>
        </w:sdtContent>
      </w:sdt>
      <w:r>
        <w:t>) ECA operation nowadays, the payback periods will be very long, and the most favorable for CFL from an economical point of view will be to switch to MGO when operating in an ECA. With an ECA operation of more than 90% and depending on the remaining commercial lifetime of the vessel, it is recommended to CFL to search for a similar alternative as the scrubber installation but which has an applicable footprint and a more attractive economical profile.</w:t>
      </w:r>
    </w:p>
    <w:p w:rsidR="00B26346" w:rsidRDefault="00B26346" w:rsidP="004E0751">
      <w:pPr>
        <w:jc w:val="both"/>
        <w:rPr>
          <w:lang w:val="en-GB"/>
        </w:rPr>
      </w:pPr>
      <w:r>
        <w:t>As the scope of this research is limited to scrubber installations, there is no detailed information provided for operation on LNG or other gaseous fuels.</w:t>
      </w:r>
    </w:p>
    <w:p w:rsidR="00481FD4" w:rsidRPr="004E0751" w:rsidRDefault="00481FD4" w:rsidP="004E0751">
      <w:pPr>
        <w:jc w:val="both"/>
        <w:rPr>
          <w:lang w:val="en-GB"/>
        </w:rPr>
      </w:pPr>
    </w:p>
    <w:sdt>
      <w:sdtPr>
        <w:rPr>
          <w:rFonts w:asciiTheme="minorHAnsi" w:eastAsiaTheme="minorHAnsi" w:hAnsiTheme="minorHAnsi" w:cstheme="minorBidi"/>
          <w:b w:val="0"/>
          <w:bCs w:val="0"/>
          <w:color w:val="auto"/>
          <w:sz w:val="22"/>
          <w:szCs w:val="22"/>
          <w:lang w:val="nl-BE"/>
        </w:rPr>
        <w:id w:val="5795478"/>
        <w:docPartObj>
          <w:docPartGallery w:val="Table of Contents"/>
          <w:docPartUnique/>
        </w:docPartObj>
      </w:sdtPr>
      <w:sdtEndPr>
        <w:rPr>
          <w:sz w:val="24"/>
          <w:lang w:val="en-US"/>
        </w:rPr>
      </w:sdtEndPr>
      <w:sdtContent>
        <w:p w:rsidR="00481FD4" w:rsidRDefault="00405508">
          <w:pPr>
            <w:pStyle w:val="Kopvaninhoudsopgave"/>
          </w:pPr>
          <w:r>
            <w:rPr>
              <w:lang w:val="en-US"/>
            </w:rPr>
            <w:t>Contents</w:t>
          </w:r>
        </w:p>
        <w:p w:rsidR="00BE643B" w:rsidRDefault="003352B0">
          <w:pPr>
            <w:pStyle w:val="Inhopg1"/>
            <w:tabs>
              <w:tab w:val="right" w:leader="dot" w:pos="9062"/>
            </w:tabs>
            <w:rPr>
              <w:rFonts w:eastAsiaTheme="minorEastAsia"/>
              <w:noProof/>
              <w:sz w:val="22"/>
              <w:lang w:val="nl-BE" w:eastAsia="nl-BE"/>
            </w:rPr>
          </w:pPr>
          <w:r>
            <w:rPr>
              <w:lang w:val="nl-NL"/>
            </w:rPr>
            <w:fldChar w:fldCharType="begin"/>
          </w:r>
          <w:r w:rsidR="00405508">
            <w:rPr>
              <w:lang w:val="nl-NL"/>
            </w:rPr>
            <w:instrText xml:space="preserve"> TOC \o "1-3" \h \z \u </w:instrText>
          </w:r>
          <w:r>
            <w:rPr>
              <w:lang w:val="nl-NL"/>
            </w:rPr>
            <w:fldChar w:fldCharType="separate"/>
          </w:r>
          <w:hyperlink w:anchor="_Toc455838042" w:history="1">
            <w:r w:rsidR="00BE643B" w:rsidRPr="00A35784">
              <w:rPr>
                <w:rStyle w:val="Hyperlink"/>
                <w:noProof/>
              </w:rPr>
              <w:t>1. Introduction</w:t>
            </w:r>
            <w:r w:rsidR="00BE643B">
              <w:rPr>
                <w:noProof/>
                <w:webHidden/>
              </w:rPr>
              <w:tab/>
            </w:r>
            <w:r>
              <w:rPr>
                <w:noProof/>
                <w:webHidden/>
              </w:rPr>
              <w:fldChar w:fldCharType="begin"/>
            </w:r>
            <w:r w:rsidR="00BE643B">
              <w:rPr>
                <w:noProof/>
                <w:webHidden/>
              </w:rPr>
              <w:instrText xml:space="preserve"> PAGEREF _Toc455838042 \h </w:instrText>
            </w:r>
            <w:r>
              <w:rPr>
                <w:noProof/>
                <w:webHidden/>
              </w:rPr>
            </w:r>
            <w:r>
              <w:rPr>
                <w:noProof/>
                <w:webHidden/>
              </w:rPr>
              <w:fldChar w:fldCharType="separate"/>
            </w:r>
            <w:r w:rsidR="00BE643B">
              <w:rPr>
                <w:noProof/>
                <w:webHidden/>
              </w:rPr>
              <w:t>6</w:t>
            </w:r>
            <w:r>
              <w:rPr>
                <w:noProof/>
                <w:webHidden/>
              </w:rPr>
              <w:fldChar w:fldCharType="end"/>
            </w:r>
          </w:hyperlink>
        </w:p>
        <w:p w:rsidR="00BE643B" w:rsidRDefault="003352B0">
          <w:pPr>
            <w:pStyle w:val="Inhopg1"/>
            <w:tabs>
              <w:tab w:val="right" w:leader="dot" w:pos="9062"/>
            </w:tabs>
            <w:rPr>
              <w:rFonts w:eastAsiaTheme="minorEastAsia"/>
              <w:noProof/>
              <w:sz w:val="22"/>
              <w:lang w:val="nl-BE" w:eastAsia="nl-BE"/>
            </w:rPr>
          </w:pPr>
          <w:hyperlink w:anchor="_Toc455838043" w:history="1">
            <w:r w:rsidR="00BE643B" w:rsidRPr="00A35784">
              <w:rPr>
                <w:rStyle w:val="Hyperlink"/>
                <w:noProof/>
              </w:rPr>
              <w:t>2. Theoretical Frame</w:t>
            </w:r>
            <w:r w:rsidR="00BE643B">
              <w:rPr>
                <w:noProof/>
                <w:webHidden/>
              </w:rPr>
              <w:tab/>
            </w:r>
            <w:r>
              <w:rPr>
                <w:noProof/>
                <w:webHidden/>
              </w:rPr>
              <w:fldChar w:fldCharType="begin"/>
            </w:r>
            <w:r w:rsidR="00BE643B">
              <w:rPr>
                <w:noProof/>
                <w:webHidden/>
              </w:rPr>
              <w:instrText xml:space="preserve"> PAGEREF _Toc455838043 \h </w:instrText>
            </w:r>
            <w:r>
              <w:rPr>
                <w:noProof/>
                <w:webHidden/>
              </w:rPr>
            </w:r>
            <w:r>
              <w:rPr>
                <w:noProof/>
                <w:webHidden/>
              </w:rPr>
              <w:fldChar w:fldCharType="separate"/>
            </w:r>
            <w:r w:rsidR="00BE643B">
              <w:rPr>
                <w:noProof/>
                <w:webHidden/>
              </w:rPr>
              <w:t>8</w:t>
            </w:r>
            <w:r>
              <w:rPr>
                <w:noProof/>
                <w:webHidden/>
              </w:rPr>
              <w:fldChar w:fldCharType="end"/>
            </w:r>
          </w:hyperlink>
        </w:p>
        <w:p w:rsidR="00BE643B" w:rsidRDefault="003352B0">
          <w:pPr>
            <w:pStyle w:val="Inhopg2"/>
            <w:tabs>
              <w:tab w:val="right" w:leader="dot" w:pos="9062"/>
            </w:tabs>
            <w:rPr>
              <w:rFonts w:eastAsiaTheme="minorEastAsia"/>
              <w:noProof/>
              <w:sz w:val="22"/>
              <w:lang w:val="nl-BE" w:eastAsia="nl-BE"/>
            </w:rPr>
          </w:pPr>
          <w:hyperlink w:anchor="_Toc455838044" w:history="1">
            <w:r w:rsidR="00BE643B" w:rsidRPr="00A35784">
              <w:rPr>
                <w:rStyle w:val="Hyperlink"/>
                <w:noProof/>
              </w:rPr>
              <w:t>2.1 Reference Vessel - Marvel Scan</w:t>
            </w:r>
            <w:r w:rsidR="00BE643B">
              <w:rPr>
                <w:noProof/>
                <w:webHidden/>
              </w:rPr>
              <w:tab/>
            </w:r>
            <w:r>
              <w:rPr>
                <w:noProof/>
                <w:webHidden/>
              </w:rPr>
              <w:fldChar w:fldCharType="begin"/>
            </w:r>
            <w:r w:rsidR="00BE643B">
              <w:rPr>
                <w:noProof/>
                <w:webHidden/>
              </w:rPr>
              <w:instrText xml:space="preserve"> PAGEREF _Toc455838044 \h </w:instrText>
            </w:r>
            <w:r>
              <w:rPr>
                <w:noProof/>
                <w:webHidden/>
              </w:rPr>
            </w:r>
            <w:r>
              <w:rPr>
                <w:noProof/>
                <w:webHidden/>
              </w:rPr>
              <w:fldChar w:fldCharType="separate"/>
            </w:r>
            <w:r w:rsidR="00BE643B">
              <w:rPr>
                <w:noProof/>
                <w:webHidden/>
              </w:rPr>
              <w:t>8</w:t>
            </w:r>
            <w:r>
              <w:rPr>
                <w:noProof/>
                <w:webHidden/>
              </w:rPr>
              <w:fldChar w:fldCharType="end"/>
            </w:r>
          </w:hyperlink>
        </w:p>
        <w:p w:rsidR="00BE643B" w:rsidRDefault="003352B0">
          <w:pPr>
            <w:pStyle w:val="Inhopg2"/>
            <w:tabs>
              <w:tab w:val="right" w:leader="dot" w:pos="9062"/>
            </w:tabs>
            <w:rPr>
              <w:rFonts w:eastAsiaTheme="minorEastAsia"/>
              <w:noProof/>
              <w:sz w:val="22"/>
              <w:lang w:val="nl-BE" w:eastAsia="nl-BE"/>
            </w:rPr>
          </w:pPr>
          <w:hyperlink w:anchor="_Toc455838045" w:history="1">
            <w:r w:rsidR="00BE643B" w:rsidRPr="00A35784">
              <w:rPr>
                <w:rStyle w:val="Hyperlink"/>
                <w:noProof/>
              </w:rPr>
              <w:t>2.2 MARPOL Annex VI</w:t>
            </w:r>
            <w:r w:rsidR="00BE643B">
              <w:rPr>
                <w:noProof/>
                <w:webHidden/>
              </w:rPr>
              <w:tab/>
            </w:r>
            <w:r>
              <w:rPr>
                <w:noProof/>
                <w:webHidden/>
              </w:rPr>
              <w:fldChar w:fldCharType="begin"/>
            </w:r>
            <w:r w:rsidR="00BE643B">
              <w:rPr>
                <w:noProof/>
                <w:webHidden/>
              </w:rPr>
              <w:instrText xml:space="preserve"> PAGEREF _Toc455838045 \h </w:instrText>
            </w:r>
            <w:r>
              <w:rPr>
                <w:noProof/>
                <w:webHidden/>
              </w:rPr>
            </w:r>
            <w:r>
              <w:rPr>
                <w:noProof/>
                <w:webHidden/>
              </w:rPr>
              <w:fldChar w:fldCharType="separate"/>
            </w:r>
            <w:r w:rsidR="00BE643B">
              <w:rPr>
                <w:noProof/>
                <w:webHidden/>
              </w:rPr>
              <w:t>8</w:t>
            </w:r>
            <w:r>
              <w:rPr>
                <w:noProof/>
                <w:webHidden/>
              </w:rPr>
              <w:fldChar w:fldCharType="end"/>
            </w:r>
          </w:hyperlink>
        </w:p>
        <w:p w:rsidR="00BE643B" w:rsidRDefault="003352B0">
          <w:pPr>
            <w:pStyle w:val="Inhopg2"/>
            <w:tabs>
              <w:tab w:val="right" w:leader="dot" w:pos="9062"/>
            </w:tabs>
            <w:rPr>
              <w:rFonts w:eastAsiaTheme="minorEastAsia"/>
              <w:noProof/>
              <w:sz w:val="22"/>
              <w:lang w:val="nl-BE" w:eastAsia="nl-BE"/>
            </w:rPr>
          </w:pPr>
          <w:hyperlink w:anchor="_Toc455838046" w:history="1">
            <w:r w:rsidR="00BE643B" w:rsidRPr="00A35784">
              <w:rPr>
                <w:rStyle w:val="Hyperlink"/>
                <w:noProof/>
              </w:rPr>
              <w:t>2.3 Emission Control Areas</w:t>
            </w:r>
            <w:r w:rsidR="00BE643B">
              <w:rPr>
                <w:noProof/>
                <w:webHidden/>
              </w:rPr>
              <w:tab/>
            </w:r>
            <w:r>
              <w:rPr>
                <w:noProof/>
                <w:webHidden/>
              </w:rPr>
              <w:fldChar w:fldCharType="begin"/>
            </w:r>
            <w:r w:rsidR="00BE643B">
              <w:rPr>
                <w:noProof/>
                <w:webHidden/>
              </w:rPr>
              <w:instrText xml:space="preserve"> PAGEREF _Toc455838046 \h </w:instrText>
            </w:r>
            <w:r>
              <w:rPr>
                <w:noProof/>
                <w:webHidden/>
              </w:rPr>
            </w:r>
            <w:r>
              <w:rPr>
                <w:noProof/>
                <w:webHidden/>
              </w:rPr>
              <w:fldChar w:fldCharType="separate"/>
            </w:r>
            <w:r w:rsidR="00BE643B">
              <w:rPr>
                <w:noProof/>
                <w:webHidden/>
              </w:rPr>
              <w:t>9</w:t>
            </w:r>
            <w:r>
              <w:rPr>
                <w:noProof/>
                <w:webHidden/>
              </w:rPr>
              <w:fldChar w:fldCharType="end"/>
            </w:r>
          </w:hyperlink>
        </w:p>
        <w:p w:rsidR="00BE643B" w:rsidRDefault="003352B0">
          <w:pPr>
            <w:pStyle w:val="Inhopg2"/>
            <w:tabs>
              <w:tab w:val="right" w:leader="dot" w:pos="9062"/>
            </w:tabs>
            <w:rPr>
              <w:rFonts w:eastAsiaTheme="minorEastAsia"/>
              <w:noProof/>
              <w:sz w:val="22"/>
              <w:lang w:val="nl-BE" w:eastAsia="nl-BE"/>
            </w:rPr>
          </w:pPr>
          <w:hyperlink w:anchor="_Toc455838047" w:history="1">
            <w:r w:rsidR="00BE643B" w:rsidRPr="00A35784">
              <w:rPr>
                <w:rStyle w:val="Hyperlink"/>
                <w:noProof/>
              </w:rPr>
              <w:t>2.4 Compliance Options for CFL</w:t>
            </w:r>
            <w:r w:rsidR="00BE643B">
              <w:rPr>
                <w:noProof/>
                <w:webHidden/>
              </w:rPr>
              <w:tab/>
            </w:r>
            <w:r>
              <w:rPr>
                <w:noProof/>
                <w:webHidden/>
              </w:rPr>
              <w:fldChar w:fldCharType="begin"/>
            </w:r>
            <w:r w:rsidR="00BE643B">
              <w:rPr>
                <w:noProof/>
                <w:webHidden/>
              </w:rPr>
              <w:instrText xml:space="preserve"> PAGEREF _Toc455838047 \h </w:instrText>
            </w:r>
            <w:r>
              <w:rPr>
                <w:noProof/>
                <w:webHidden/>
              </w:rPr>
            </w:r>
            <w:r>
              <w:rPr>
                <w:noProof/>
                <w:webHidden/>
              </w:rPr>
              <w:fldChar w:fldCharType="separate"/>
            </w:r>
            <w:r w:rsidR="00BE643B">
              <w:rPr>
                <w:noProof/>
                <w:webHidden/>
              </w:rPr>
              <w:t>10</w:t>
            </w:r>
            <w:r>
              <w:rPr>
                <w:noProof/>
                <w:webHidden/>
              </w:rPr>
              <w:fldChar w:fldCharType="end"/>
            </w:r>
          </w:hyperlink>
        </w:p>
        <w:p w:rsidR="00BE643B" w:rsidRDefault="003352B0">
          <w:pPr>
            <w:pStyle w:val="Inhopg3"/>
            <w:tabs>
              <w:tab w:val="right" w:leader="dot" w:pos="9062"/>
            </w:tabs>
            <w:rPr>
              <w:rFonts w:eastAsiaTheme="minorEastAsia"/>
              <w:noProof/>
              <w:sz w:val="22"/>
              <w:lang w:val="nl-BE" w:eastAsia="nl-BE"/>
            </w:rPr>
          </w:pPr>
          <w:hyperlink w:anchor="_Toc455838048" w:history="1">
            <w:r w:rsidR="00BE643B" w:rsidRPr="00A35784">
              <w:rPr>
                <w:rStyle w:val="Hyperlink"/>
                <w:noProof/>
              </w:rPr>
              <w:t>2.4.1 Using LNG</w:t>
            </w:r>
            <w:r w:rsidR="00BE643B">
              <w:rPr>
                <w:noProof/>
                <w:webHidden/>
              </w:rPr>
              <w:tab/>
            </w:r>
            <w:r>
              <w:rPr>
                <w:noProof/>
                <w:webHidden/>
              </w:rPr>
              <w:fldChar w:fldCharType="begin"/>
            </w:r>
            <w:r w:rsidR="00BE643B">
              <w:rPr>
                <w:noProof/>
                <w:webHidden/>
              </w:rPr>
              <w:instrText xml:space="preserve"> PAGEREF _Toc455838048 \h </w:instrText>
            </w:r>
            <w:r>
              <w:rPr>
                <w:noProof/>
                <w:webHidden/>
              </w:rPr>
            </w:r>
            <w:r>
              <w:rPr>
                <w:noProof/>
                <w:webHidden/>
              </w:rPr>
              <w:fldChar w:fldCharType="separate"/>
            </w:r>
            <w:r w:rsidR="00BE643B">
              <w:rPr>
                <w:noProof/>
                <w:webHidden/>
              </w:rPr>
              <w:t>10</w:t>
            </w:r>
            <w:r>
              <w:rPr>
                <w:noProof/>
                <w:webHidden/>
              </w:rPr>
              <w:fldChar w:fldCharType="end"/>
            </w:r>
          </w:hyperlink>
        </w:p>
        <w:p w:rsidR="00BE643B" w:rsidRDefault="003352B0">
          <w:pPr>
            <w:pStyle w:val="Inhopg3"/>
            <w:tabs>
              <w:tab w:val="right" w:leader="dot" w:pos="9062"/>
            </w:tabs>
            <w:rPr>
              <w:rFonts w:eastAsiaTheme="minorEastAsia"/>
              <w:noProof/>
              <w:sz w:val="22"/>
              <w:lang w:val="nl-BE" w:eastAsia="nl-BE"/>
            </w:rPr>
          </w:pPr>
          <w:hyperlink w:anchor="_Toc455838049" w:history="1">
            <w:r w:rsidR="00BE643B" w:rsidRPr="00A35784">
              <w:rPr>
                <w:rStyle w:val="Hyperlink"/>
                <w:noProof/>
              </w:rPr>
              <w:t>2.4.2 Using MGO</w:t>
            </w:r>
            <w:r w:rsidR="00BE643B">
              <w:rPr>
                <w:noProof/>
                <w:webHidden/>
              </w:rPr>
              <w:tab/>
            </w:r>
            <w:r>
              <w:rPr>
                <w:noProof/>
                <w:webHidden/>
              </w:rPr>
              <w:fldChar w:fldCharType="begin"/>
            </w:r>
            <w:r w:rsidR="00BE643B">
              <w:rPr>
                <w:noProof/>
                <w:webHidden/>
              </w:rPr>
              <w:instrText xml:space="preserve"> PAGEREF _Toc455838049 \h </w:instrText>
            </w:r>
            <w:r>
              <w:rPr>
                <w:noProof/>
                <w:webHidden/>
              </w:rPr>
            </w:r>
            <w:r>
              <w:rPr>
                <w:noProof/>
                <w:webHidden/>
              </w:rPr>
              <w:fldChar w:fldCharType="separate"/>
            </w:r>
            <w:r w:rsidR="00BE643B">
              <w:rPr>
                <w:noProof/>
                <w:webHidden/>
              </w:rPr>
              <w:t>10</w:t>
            </w:r>
            <w:r>
              <w:rPr>
                <w:noProof/>
                <w:webHidden/>
              </w:rPr>
              <w:fldChar w:fldCharType="end"/>
            </w:r>
          </w:hyperlink>
        </w:p>
        <w:p w:rsidR="00BE643B" w:rsidRDefault="003352B0">
          <w:pPr>
            <w:pStyle w:val="Inhopg3"/>
            <w:tabs>
              <w:tab w:val="right" w:leader="dot" w:pos="9062"/>
            </w:tabs>
            <w:rPr>
              <w:rFonts w:eastAsiaTheme="minorEastAsia"/>
              <w:noProof/>
              <w:sz w:val="22"/>
              <w:lang w:val="nl-BE" w:eastAsia="nl-BE"/>
            </w:rPr>
          </w:pPr>
          <w:hyperlink w:anchor="_Toc455838050" w:history="1">
            <w:r w:rsidR="00BE643B" w:rsidRPr="00A35784">
              <w:rPr>
                <w:rStyle w:val="Hyperlink"/>
                <w:noProof/>
              </w:rPr>
              <w:t>2.4.3 Using a Scrubber Installation</w:t>
            </w:r>
            <w:r w:rsidR="00BE643B">
              <w:rPr>
                <w:noProof/>
                <w:webHidden/>
              </w:rPr>
              <w:tab/>
            </w:r>
            <w:r>
              <w:rPr>
                <w:noProof/>
                <w:webHidden/>
              </w:rPr>
              <w:fldChar w:fldCharType="begin"/>
            </w:r>
            <w:r w:rsidR="00BE643B">
              <w:rPr>
                <w:noProof/>
                <w:webHidden/>
              </w:rPr>
              <w:instrText xml:space="preserve"> PAGEREF _Toc455838050 \h </w:instrText>
            </w:r>
            <w:r>
              <w:rPr>
                <w:noProof/>
                <w:webHidden/>
              </w:rPr>
            </w:r>
            <w:r>
              <w:rPr>
                <w:noProof/>
                <w:webHidden/>
              </w:rPr>
              <w:fldChar w:fldCharType="separate"/>
            </w:r>
            <w:r w:rsidR="00BE643B">
              <w:rPr>
                <w:noProof/>
                <w:webHidden/>
              </w:rPr>
              <w:t>12</w:t>
            </w:r>
            <w:r>
              <w:rPr>
                <w:noProof/>
                <w:webHidden/>
              </w:rPr>
              <w:fldChar w:fldCharType="end"/>
            </w:r>
          </w:hyperlink>
        </w:p>
        <w:p w:rsidR="00BE643B" w:rsidRDefault="003352B0">
          <w:pPr>
            <w:pStyle w:val="Inhopg2"/>
            <w:tabs>
              <w:tab w:val="right" w:leader="dot" w:pos="9062"/>
            </w:tabs>
            <w:rPr>
              <w:rFonts w:eastAsiaTheme="minorEastAsia"/>
              <w:noProof/>
              <w:sz w:val="22"/>
              <w:lang w:val="nl-BE" w:eastAsia="nl-BE"/>
            </w:rPr>
          </w:pPr>
          <w:hyperlink w:anchor="_Toc455838051" w:history="1">
            <w:r w:rsidR="00BE643B" w:rsidRPr="00A35784">
              <w:rPr>
                <w:rStyle w:val="Hyperlink"/>
                <w:noProof/>
              </w:rPr>
              <w:t>2.5 Scrubber Technologies</w:t>
            </w:r>
            <w:r w:rsidR="00BE643B">
              <w:rPr>
                <w:noProof/>
                <w:webHidden/>
              </w:rPr>
              <w:tab/>
            </w:r>
            <w:r>
              <w:rPr>
                <w:noProof/>
                <w:webHidden/>
              </w:rPr>
              <w:fldChar w:fldCharType="begin"/>
            </w:r>
            <w:r w:rsidR="00BE643B">
              <w:rPr>
                <w:noProof/>
                <w:webHidden/>
              </w:rPr>
              <w:instrText xml:space="preserve"> PAGEREF _Toc455838051 \h </w:instrText>
            </w:r>
            <w:r>
              <w:rPr>
                <w:noProof/>
                <w:webHidden/>
              </w:rPr>
            </w:r>
            <w:r>
              <w:rPr>
                <w:noProof/>
                <w:webHidden/>
              </w:rPr>
              <w:fldChar w:fldCharType="separate"/>
            </w:r>
            <w:r w:rsidR="00BE643B">
              <w:rPr>
                <w:noProof/>
                <w:webHidden/>
              </w:rPr>
              <w:t>13</w:t>
            </w:r>
            <w:r>
              <w:rPr>
                <w:noProof/>
                <w:webHidden/>
              </w:rPr>
              <w:fldChar w:fldCharType="end"/>
            </w:r>
          </w:hyperlink>
        </w:p>
        <w:p w:rsidR="00BE643B" w:rsidRDefault="003352B0">
          <w:pPr>
            <w:pStyle w:val="Inhopg3"/>
            <w:tabs>
              <w:tab w:val="right" w:leader="dot" w:pos="9062"/>
            </w:tabs>
            <w:rPr>
              <w:rFonts w:eastAsiaTheme="minorEastAsia"/>
              <w:noProof/>
              <w:sz w:val="22"/>
              <w:lang w:val="nl-BE" w:eastAsia="nl-BE"/>
            </w:rPr>
          </w:pPr>
          <w:hyperlink w:anchor="_Toc455838052" w:history="1">
            <w:r w:rsidR="00BE643B" w:rsidRPr="00A35784">
              <w:rPr>
                <w:rStyle w:val="Hyperlink"/>
                <w:noProof/>
              </w:rPr>
              <w:t>2.5.1 Comparison between Wet and Dry Scrubbers</w:t>
            </w:r>
            <w:r w:rsidR="00BE643B">
              <w:rPr>
                <w:noProof/>
                <w:webHidden/>
              </w:rPr>
              <w:tab/>
            </w:r>
            <w:r>
              <w:rPr>
                <w:noProof/>
                <w:webHidden/>
              </w:rPr>
              <w:fldChar w:fldCharType="begin"/>
            </w:r>
            <w:r w:rsidR="00BE643B">
              <w:rPr>
                <w:noProof/>
                <w:webHidden/>
              </w:rPr>
              <w:instrText xml:space="preserve"> PAGEREF _Toc455838052 \h </w:instrText>
            </w:r>
            <w:r>
              <w:rPr>
                <w:noProof/>
                <w:webHidden/>
              </w:rPr>
            </w:r>
            <w:r>
              <w:rPr>
                <w:noProof/>
                <w:webHidden/>
              </w:rPr>
              <w:fldChar w:fldCharType="separate"/>
            </w:r>
            <w:r w:rsidR="00BE643B">
              <w:rPr>
                <w:noProof/>
                <w:webHidden/>
              </w:rPr>
              <w:t>14</w:t>
            </w:r>
            <w:r>
              <w:rPr>
                <w:noProof/>
                <w:webHidden/>
              </w:rPr>
              <w:fldChar w:fldCharType="end"/>
            </w:r>
          </w:hyperlink>
        </w:p>
        <w:p w:rsidR="00BE643B" w:rsidRDefault="003352B0">
          <w:pPr>
            <w:pStyle w:val="Inhopg2"/>
            <w:tabs>
              <w:tab w:val="right" w:leader="dot" w:pos="9062"/>
            </w:tabs>
            <w:rPr>
              <w:rFonts w:eastAsiaTheme="minorEastAsia"/>
              <w:noProof/>
              <w:sz w:val="22"/>
              <w:lang w:val="nl-BE" w:eastAsia="nl-BE"/>
            </w:rPr>
          </w:pPr>
          <w:hyperlink w:anchor="_Toc455838053" w:history="1">
            <w:r w:rsidR="00BE643B" w:rsidRPr="00A35784">
              <w:rPr>
                <w:rStyle w:val="Hyperlink"/>
                <w:noProof/>
              </w:rPr>
              <w:t>2.6 Advantages and Disadvantages of the Scrubber systems</w:t>
            </w:r>
            <w:r w:rsidR="00BE643B">
              <w:rPr>
                <w:noProof/>
                <w:webHidden/>
              </w:rPr>
              <w:tab/>
            </w:r>
            <w:r>
              <w:rPr>
                <w:noProof/>
                <w:webHidden/>
              </w:rPr>
              <w:fldChar w:fldCharType="begin"/>
            </w:r>
            <w:r w:rsidR="00BE643B">
              <w:rPr>
                <w:noProof/>
                <w:webHidden/>
              </w:rPr>
              <w:instrText xml:space="preserve"> PAGEREF _Toc455838053 \h </w:instrText>
            </w:r>
            <w:r>
              <w:rPr>
                <w:noProof/>
                <w:webHidden/>
              </w:rPr>
            </w:r>
            <w:r>
              <w:rPr>
                <w:noProof/>
                <w:webHidden/>
              </w:rPr>
              <w:fldChar w:fldCharType="separate"/>
            </w:r>
            <w:r w:rsidR="00BE643B">
              <w:rPr>
                <w:noProof/>
                <w:webHidden/>
              </w:rPr>
              <w:t>16</w:t>
            </w:r>
            <w:r>
              <w:rPr>
                <w:noProof/>
                <w:webHidden/>
              </w:rPr>
              <w:fldChar w:fldCharType="end"/>
            </w:r>
          </w:hyperlink>
        </w:p>
        <w:p w:rsidR="00BE643B" w:rsidRDefault="003352B0">
          <w:pPr>
            <w:pStyle w:val="Inhopg3"/>
            <w:tabs>
              <w:tab w:val="right" w:leader="dot" w:pos="9062"/>
            </w:tabs>
            <w:rPr>
              <w:rFonts w:eastAsiaTheme="minorEastAsia"/>
              <w:noProof/>
              <w:sz w:val="22"/>
              <w:lang w:val="nl-BE" w:eastAsia="nl-BE"/>
            </w:rPr>
          </w:pPr>
          <w:hyperlink w:anchor="_Toc455838054" w:history="1">
            <w:r w:rsidR="00BE643B" w:rsidRPr="00A35784">
              <w:rPr>
                <w:rStyle w:val="Hyperlink"/>
                <w:noProof/>
              </w:rPr>
              <w:t>2.6.1 Dry Scrubbers</w:t>
            </w:r>
            <w:r w:rsidR="00BE643B">
              <w:rPr>
                <w:noProof/>
                <w:webHidden/>
              </w:rPr>
              <w:tab/>
            </w:r>
            <w:r>
              <w:rPr>
                <w:noProof/>
                <w:webHidden/>
              </w:rPr>
              <w:fldChar w:fldCharType="begin"/>
            </w:r>
            <w:r w:rsidR="00BE643B">
              <w:rPr>
                <w:noProof/>
                <w:webHidden/>
              </w:rPr>
              <w:instrText xml:space="preserve"> PAGEREF _Toc455838054 \h </w:instrText>
            </w:r>
            <w:r>
              <w:rPr>
                <w:noProof/>
                <w:webHidden/>
              </w:rPr>
            </w:r>
            <w:r>
              <w:rPr>
                <w:noProof/>
                <w:webHidden/>
              </w:rPr>
              <w:fldChar w:fldCharType="separate"/>
            </w:r>
            <w:r w:rsidR="00BE643B">
              <w:rPr>
                <w:noProof/>
                <w:webHidden/>
              </w:rPr>
              <w:t>16</w:t>
            </w:r>
            <w:r>
              <w:rPr>
                <w:noProof/>
                <w:webHidden/>
              </w:rPr>
              <w:fldChar w:fldCharType="end"/>
            </w:r>
          </w:hyperlink>
        </w:p>
        <w:p w:rsidR="00BE643B" w:rsidRDefault="003352B0">
          <w:pPr>
            <w:pStyle w:val="Inhopg3"/>
            <w:tabs>
              <w:tab w:val="right" w:leader="dot" w:pos="9062"/>
            </w:tabs>
            <w:rPr>
              <w:rFonts w:eastAsiaTheme="minorEastAsia"/>
              <w:noProof/>
              <w:sz w:val="22"/>
              <w:lang w:val="nl-BE" w:eastAsia="nl-BE"/>
            </w:rPr>
          </w:pPr>
          <w:hyperlink w:anchor="_Toc455838055" w:history="1">
            <w:r w:rsidR="00BE643B" w:rsidRPr="00A35784">
              <w:rPr>
                <w:rStyle w:val="Hyperlink"/>
                <w:noProof/>
              </w:rPr>
              <w:t>2.6.2 Open-loop (Seawater) Scrubber</w:t>
            </w:r>
            <w:r w:rsidR="00BE643B">
              <w:rPr>
                <w:noProof/>
                <w:webHidden/>
              </w:rPr>
              <w:tab/>
            </w:r>
            <w:r>
              <w:rPr>
                <w:noProof/>
                <w:webHidden/>
              </w:rPr>
              <w:fldChar w:fldCharType="begin"/>
            </w:r>
            <w:r w:rsidR="00BE643B">
              <w:rPr>
                <w:noProof/>
                <w:webHidden/>
              </w:rPr>
              <w:instrText xml:space="preserve"> PAGEREF _Toc455838055 \h </w:instrText>
            </w:r>
            <w:r>
              <w:rPr>
                <w:noProof/>
                <w:webHidden/>
              </w:rPr>
            </w:r>
            <w:r>
              <w:rPr>
                <w:noProof/>
                <w:webHidden/>
              </w:rPr>
              <w:fldChar w:fldCharType="separate"/>
            </w:r>
            <w:r w:rsidR="00BE643B">
              <w:rPr>
                <w:noProof/>
                <w:webHidden/>
              </w:rPr>
              <w:t>16</w:t>
            </w:r>
            <w:r>
              <w:rPr>
                <w:noProof/>
                <w:webHidden/>
              </w:rPr>
              <w:fldChar w:fldCharType="end"/>
            </w:r>
          </w:hyperlink>
        </w:p>
        <w:p w:rsidR="00BE643B" w:rsidRDefault="003352B0">
          <w:pPr>
            <w:pStyle w:val="Inhopg3"/>
            <w:tabs>
              <w:tab w:val="right" w:leader="dot" w:pos="9062"/>
            </w:tabs>
            <w:rPr>
              <w:rFonts w:eastAsiaTheme="minorEastAsia"/>
              <w:noProof/>
              <w:sz w:val="22"/>
              <w:lang w:val="nl-BE" w:eastAsia="nl-BE"/>
            </w:rPr>
          </w:pPr>
          <w:hyperlink w:anchor="_Toc455838056" w:history="1">
            <w:r w:rsidR="00BE643B" w:rsidRPr="00A35784">
              <w:rPr>
                <w:rStyle w:val="Hyperlink"/>
                <w:noProof/>
              </w:rPr>
              <w:t>2.6.3 Closed-loop (Freshwater) Scrubber</w:t>
            </w:r>
            <w:r w:rsidR="00BE643B">
              <w:rPr>
                <w:noProof/>
                <w:webHidden/>
              </w:rPr>
              <w:tab/>
            </w:r>
            <w:r>
              <w:rPr>
                <w:noProof/>
                <w:webHidden/>
              </w:rPr>
              <w:fldChar w:fldCharType="begin"/>
            </w:r>
            <w:r w:rsidR="00BE643B">
              <w:rPr>
                <w:noProof/>
                <w:webHidden/>
              </w:rPr>
              <w:instrText xml:space="preserve"> PAGEREF _Toc455838056 \h </w:instrText>
            </w:r>
            <w:r>
              <w:rPr>
                <w:noProof/>
                <w:webHidden/>
              </w:rPr>
            </w:r>
            <w:r>
              <w:rPr>
                <w:noProof/>
                <w:webHidden/>
              </w:rPr>
              <w:fldChar w:fldCharType="separate"/>
            </w:r>
            <w:r w:rsidR="00BE643B">
              <w:rPr>
                <w:noProof/>
                <w:webHidden/>
              </w:rPr>
              <w:t>16</w:t>
            </w:r>
            <w:r>
              <w:rPr>
                <w:noProof/>
                <w:webHidden/>
              </w:rPr>
              <w:fldChar w:fldCharType="end"/>
            </w:r>
          </w:hyperlink>
        </w:p>
        <w:p w:rsidR="00BE643B" w:rsidRDefault="003352B0">
          <w:pPr>
            <w:pStyle w:val="Inhopg3"/>
            <w:tabs>
              <w:tab w:val="right" w:leader="dot" w:pos="9062"/>
            </w:tabs>
            <w:rPr>
              <w:rFonts w:eastAsiaTheme="minorEastAsia"/>
              <w:noProof/>
              <w:sz w:val="22"/>
              <w:lang w:val="nl-BE" w:eastAsia="nl-BE"/>
            </w:rPr>
          </w:pPr>
          <w:hyperlink w:anchor="_Toc455838057" w:history="1">
            <w:r w:rsidR="00BE643B" w:rsidRPr="00A35784">
              <w:rPr>
                <w:rStyle w:val="Hyperlink"/>
                <w:noProof/>
              </w:rPr>
              <w:t>2.6.4 Caustic Soda Solution</w:t>
            </w:r>
            <w:r w:rsidR="00BE643B">
              <w:rPr>
                <w:noProof/>
                <w:webHidden/>
              </w:rPr>
              <w:tab/>
            </w:r>
            <w:r>
              <w:rPr>
                <w:noProof/>
                <w:webHidden/>
              </w:rPr>
              <w:fldChar w:fldCharType="begin"/>
            </w:r>
            <w:r w:rsidR="00BE643B">
              <w:rPr>
                <w:noProof/>
                <w:webHidden/>
              </w:rPr>
              <w:instrText xml:space="preserve"> PAGEREF _Toc455838057 \h </w:instrText>
            </w:r>
            <w:r>
              <w:rPr>
                <w:noProof/>
                <w:webHidden/>
              </w:rPr>
            </w:r>
            <w:r>
              <w:rPr>
                <w:noProof/>
                <w:webHidden/>
              </w:rPr>
              <w:fldChar w:fldCharType="separate"/>
            </w:r>
            <w:r w:rsidR="00BE643B">
              <w:rPr>
                <w:noProof/>
                <w:webHidden/>
              </w:rPr>
              <w:t>17</w:t>
            </w:r>
            <w:r>
              <w:rPr>
                <w:noProof/>
                <w:webHidden/>
              </w:rPr>
              <w:fldChar w:fldCharType="end"/>
            </w:r>
          </w:hyperlink>
        </w:p>
        <w:p w:rsidR="00BE643B" w:rsidRDefault="003352B0">
          <w:pPr>
            <w:pStyle w:val="Inhopg3"/>
            <w:tabs>
              <w:tab w:val="right" w:leader="dot" w:pos="9062"/>
            </w:tabs>
            <w:rPr>
              <w:rFonts w:eastAsiaTheme="minorEastAsia"/>
              <w:noProof/>
              <w:sz w:val="22"/>
              <w:lang w:val="nl-BE" w:eastAsia="nl-BE"/>
            </w:rPr>
          </w:pPr>
          <w:hyperlink w:anchor="_Toc455838058" w:history="1">
            <w:r w:rsidR="00BE643B" w:rsidRPr="00A35784">
              <w:rPr>
                <w:rStyle w:val="Hyperlink"/>
                <w:noProof/>
              </w:rPr>
              <w:t>2.6.5 Hybrid Scrubber</w:t>
            </w:r>
            <w:r w:rsidR="00BE643B">
              <w:rPr>
                <w:noProof/>
                <w:webHidden/>
              </w:rPr>
              <w:tab/>
            </w:r>
            <w:r>
              <w:rPr>
                <w:noProof/>
                <w:webHidden/>
              </w:rPr>
              <w:fldChar w:fldCharType="begin"/>
            </w:r>
            <w:r w:rsidR="00BE643B">
              <w:rPr>
                <w:noProof/>
                <w:webHidden/>
              </w:rPr>
              <w:instrText xml:space="preserve"> PAGEREF _Toc455838058 \h </w:instrText>
            </w:r>
            <w:r>
              <w:rPr>
                <w:noProof/>
                <w:webHidden/>
              </w:rPr>
            </w:r>
            <w:r>
              <w:rPr>
                <w:noProof/>
                <w:webHidden/>
              </w:rPr>
              <w:fldChar w:fldCharType="separate"/>
            </w:r>
            <w:r w:rsidR="00BE643B">
              <w:rPr>
                <w:noProof/>
                <w:webHidden/>
              </w:rPr>
              <w:t>18</w:t>
            </w:r>
            <w:r>
              <w:rPr>
                <w:noProof/>
                <w:webHidden/>
              </w:rPr>
              <w:fldChar w:fldCharType="end"/>
            </w:r>
          </w:hyperlink>
        </w:p>
        <w:p w:rsidR="00BE643B" w:rsidRDefault="003352B0">
          <w:pPr>
            <w:pStyle w:val="Inhopg3"/>
            <w:tabs>
              <w:tab w:val="right" w:leader="dot" w:pos="9062"/>
            </w:tabs>
            <w:rPr>
              <w:rFonts w:eastAsiaTheme="minorEastAsia"/>
              <w:noProof/>
              <w:sz w:val="22"/>
              <w:lang w:val="nl-BE" w:eastAsia="nl-BE"/>
            </w:rPr>
          </w:pPr>
          <w:hyperlink w:anchor="_Toc455838059" w:history="1">
            <w:r w:rsidR="00BE643B" w:rsidRPr="00A35784">
              <w:rPr>
                <w:rStyle w:val="Hyperlink"/>
                <w:noProof/>
              </w:rPr>
              <w:t>2.6.6 Single Stream Scrubber</w:t>
            </w:r>
            <w:r w:rsidR="00BE643B">
              <w:rPr>
                <w:noProof/>
                <w:webHidden/>
              </w:rPr>
              <w:tab/>
            </w:r>
            <w:r>
              <w:rPr>
                <w:noProof/>
                <w:webHidden/>
              </w:rPr>
              <w:fldChar w:fldCharType="begin"/>
            </w:r>
            <w:r w:rsidR="00BE643B">
              <w:rPr>
                <w:noProof/>
                <w:webHidden/>
              </w:rPr>
              <w:instrText xml:space="preserve"> PAGEREF _Toc455838059 \h </w:instrText>
            </w:r>
            <w:r>
              <w:rPr>
                <w:noProof/>
                <w:webHidden/>
              </w:rPr>
            </w:r>
            <w:r>
              <w:rPr>
                <w:noProof/>
                <w:webHidden/>
              </w:rPr>
              <w:fldChar w:fldCharType="separate"/>
            </w:r>
            <w:r w:rsidR="00BE643B">
              <w:rPr>
                <w:noProof/>
                <w:webHidden/>
              </w:rPr>
              <w:t>18</w:t>
            </w:r>
            <w:r>
              <w:rPr>
                <w:noProof/>
                <w:webHidden/>
              </w:rPr>
              <w:fldChar w:fldCharType="end"/>
            </w:r>
          </w:hyperlink>
        </w:p>
        <w:p w:rsidR="00BE643B" w:rsidRDefault="003352B0">
          <w:pPr>
            <w:pStyle w:val="Inhopg3"/>
            <w:tabs>
              <w:tab w:val="right" w:leader="dot" w:pos="9062"/>
            </w:tabs>
            <w:rPr>
              <w:rFonts w:eastAsiaTheme="minorEastAsia"/>
              <w:noProof/>
              <w:sz w:val="22"/>
              <w:lang w:val="nl-BE" w:eastAsia="nl-BE"/>
            </w:rPr>
          </w:pPr>
          <w:hyperlink w:anchor="_Toc455838060" w:history="1">
            <w:r w:rsidR="00BE643B" w:rsidRPr="00A35784">
              <w:rPr>
                <w:rStyle w:val="Hyperlink"/>
                <w:noProof/>
              </w:rPr>
              <w:t>2.6.7 Exhaust Gas Bypass</w:t>
            </w:r>
            <w:r w:rsidR="00BE643B">
              <w:rPr>
                <w:noProof/>
                <w:webHidden/>
              </w:rPr>
              <w:tab/>
            </w:r>
            <w:r>
              <w:rPr>
                <w:noProof/>
                <w:webHidden/>
              </w:rPr>
              <w:fldChar w:fldCharType="begin"/>
            </w:r>
            <w:r w:rsidR="00BE643B">
              <w:rPr>
                <w:noProof/>
                <w:webHidden/>
              </w:rPr>
              <w:instrText xml:space="preserve"> PAGEREF _Toc455838060 \h </w:instrText>
            </w:r>
            <w:r>
              <w:rPr>
                <w:noProof/>
                <w:webHidden/>
              </w:rPr>
            </w:r>
            <w:r>
              <w:rPr>
                <w:noProof/>
                <w:webHidden/>
              </w:rPr>
              <w:fldChar w:fldCharType="separate"/>
            </w:r>
            <w:r w:rsidR="00BE643B">
              <w:rPr>
                <w:noProof/>
                <w:webHidden/>
              </w:rPr>
              <w:t>19</w:t>
            </w:r>
            <w:r>
              <w:rPr>
                <w:noProof/>
                <w:webHidden/>
              </w:rPr>
              <w:fldChar w:fldCharType="end"/>
            </w:r>
          </w:hyperlink>
        </w:p>
        <w:p w:rsidR="00BE643B" w:rsidRDefault="003352B0">
          <w:pPr>
            <w:pStyle w:val="Inhopg2"/>
            <w:tabs>
              <w:tab w:val="right" w:leader="dot" w:pos="9062"/>
            </w:tabs>
            <w:rPr>
              <w:rFonts w:eastAsiaTheme="minorEastAsia"/>
              <w:noProof/>
              <w:sz w:val="22"/>
              <w:lang w:val="nl-BE" w:eastAsia="nl-BE"/>
            </w:rPr>
          </w:pPr>
          <w:hyperlink w:anchor="_Toc455838061" w:history="1">
            <w:r w:rsidR="00BE643B" w:rsidRPr="00A35784">
              <w:rPr>
                <w:rStyle w:val="Hyperlink"/>
                <w:noProof/>
              </w:rPr>
              <w:t>2.7 Stability impact</w:t>
            </w:r>
            <w:r w:rsidR="00BE643B">
              <w:rPr>
                <w:noProof/>
                <w:webHidden/>
              </w:rPr>
              <w:tab/>
            </w:r>
            <w:r>
              <w:rPr>
                <w:noProof/>
                <w:webHidden/>
              </w:rPr>
              <w:fldChar w:fldCharType="begin"/>
            </w:r>
            <w:r w:rsidR="00BE643B">
              <w:rPr>
                <w:noProof/>
                <w:webHidden/>
              </w:rPr>
              <w:instrText xml:space="preserve"> PAGEREF _Toc455838061 \h </w:instrText>
            </w:r>
            <w:r>
              <w:rPr>
                <w:noProof/>
                <w:webHidden/>
              </w:rPr>
            </w:r>
            <w:r>
              <w:rPr>
                <w:noProof/>
                <w:webHidden/>
              </w:rPr>
              <w:fldChar w:fldCharType="separate"/>
            </w:r>
            <w:r w:rsidR="00BE643B">
              <w:rPr>
                <w:noProof/>
                <w:webHidden/>
              </w:rPr>
              <w:t>20</w:t>
            </w:r>
            <w:r>
              <w:rPr>
                <w:noProof/>
                <w:webHidden/>
              </w:rPr>
              <w:fldChar w:fldCharType="end"/>
            </w:r>
          </w:hyperlink>
        </w:p>
        <w:p w:rsidR="00BE643B" w:rsidRDefault="003352B0">
          <w:pPr>
            <w:pStyle w:val="Inhopg1"/>
            <w:tabs>
              <w:tab w:val="right" w:leader="dot" w:pos="9062"/>
            </w:tabs>
            <w:rPr>
              <w:rFonts w:eastAsiaTheme="minorEastAsia"/>
              <w:noProof/>
              <w:sz w:val="22"/>
              <w:lang w:val="nl-BE" w:eastAsia="nl-BE"/>
            </w:rPr>
          </w:pPr>
          <w:hyperlink w:anchor="_Toc455838062" w:history="1">
            <w:r w:rsidR="00BE643B" w:rsidRPr="00A35784">
              <w:rPr>
                <w:rStyle w:val="Hyperlink"/>
                <w:noProof/>
              </w:rPr>
              <w:t>3. Method</w:t>
            </w:r>
            <w:r w:rsidR="00BE643B">
              <w:rPr>
                <w:noProof/>
                <w:webHidden/>
              </w:rPr>
              <w:tab/>
            </w:r>
            <w:r>
              <w:rPr>
                <w:noProof/>
                <w:webHidden/>
              </w:rPr>
              <w:fldChar w:fldCharType="begin"/>
            </w:r>
            <w:r w:rsidR="00BE643B">
              <w:rPr>
                <w:noProof/>
                <w:webHidden/>
              </w:rPr>
              <w:instrText xml:space="preserve"> PAGEREF _Toc455838062 \h </w:instrText>
            </w:r>
            <w:r>
              <w:rPr>
                <w:noProof/>
                <w:webHidden/>
              </w:rPr>
            </w:r>
            <w:r>
              <w:rPr>
                <w:noProof/>
                <w:webHidden/>
              </w:rPr>
              <w:fldChar w:fldCharType="separate"/>
            </w:r>
            <w:r w:rsidR="00BE643B">
              <w:rPr>
                <w:noProof/>
                <w:webHidden/>
              </w:rPr>
              <w:t>21</w:t>
            </w:r>
            <w:r>
              <w:rPr>
                <w:noProof/>
                <w:webHidden/>
              </w:rPr>
              <w:fldChar w:fldCharType="end"/>
            </w:r>
          </w:hyperlink>
        </w:p>
        <w:p w:rsidR="00BE643B" w:rsidRDefault="003352B0">
          <w:pPr>
            <w:pStyle w:val="Inhopg2"/>
            <w:tabs>
              <w:tab w:val="right" w:leader="dot" w:pos="9062"/>
            </w:tabs>
            <w:rPr>
              <w:rFonts w:eastAsiaTheme="minorEastAsia"/>
              <w:noProof/>
              <w:sz w:val="22"/>
              <w:lang w:val="nl-BE" w:eastAsia="nl-BE"/>
            </w:rPr>
          </w:pPr>
          <w:hyperlink w:anchor="_Toc455838063" w:history="1">
            <w:r w:rsidR="00BE643B" w:rsidRPr="00A35784">
              <w:rPr>
                <w:rStyle w:val="Hyperlink"/>
                <w:noProof/>
              </w:rPr>
              <w:t>3.1 Type Selection</w:t>
            </w:r>
            <w:r w:rsidR="00BE643B">
              <w:rPr>
                <w:noProof/>
                <w:webHidden/>
              </w:rPr>
              <w:tab/>
            </w:r>
            <w:r>
              <w:rPr>
                <w:noProof/>
                <w:webHidden/>
              </w:rPr>
              <w:fldChar w:fldCharType="begin"/>
            </w:r>
            <w:r w:rsidR="00BE643B">
              <w:rPr>
                <w:noProof/>
                <w:webHidden/>
              </w:rPr>
              <w:instrText xml:space="preserve"> PAGEREF _Toc455838063 \h </w:instrText>
            </w:r>
            <w:r>
              <w:rPr>
                <w:noProof/>
                <w:webHidden/>
              </w:rPr>
            </w:r>
            <w:r>
              <w:rPr>
                <w:noProof/>
                <w:webHidden/>
              </w:rPr>
              <w:fldChar w:fldCharType="separate"/>
            </w:r>
            <w:r w:rsidR="00BE643B">
              <w:rPr>
                <w:noProof/>
                <w:webHidden/>
              </w:rPr>
              <w:t>21</w:t>
            </w:r>
            <w:r>
              <w:rPr>
                <w:noProof/>
                <w:webHidden/>
              </w:rPr>
              <w:fldChar w:fldCharType="end"/>
            </w:r>
          </w:hyperlink>
        </w:p>
        <w:p w:rsidR="00BE643B" w:rsidRDefault="003352B0">
          <w:pPr>
            <w:pStyle w:val="Inhopg2"/>
            <w:tabs>
              <w:tab w:val="right" w:leader="dot" w:pos="9062"/>
            </w:tabs>
            <w:rPr>
              <w:rFonts w:eastAsiaTheme="minorEastAsia"/>
              <w:noProof/>
              <w:sz w:val="22"/>
              <w:lang w:val="nl-BE" w:eastAsia="nl-BE"/>
            </w:rPr>
          </w:pPr>
          <w:hyperlink w:anchor="_Toc455838064" w:history="1">
            <w:r w:rsidR="00BE643B" w:rsidRPr="00A35784">
              <w:rPr>
                <w:rStyle w:val="Hyperlink"/>
                <w:noProof/>
              </w:rPr>
              <w:t>3.2 Space Availability</w:t>
            </w:r>
            <w:r w:rsidR="00BE643B">
              <w:rPr>
                <w:noProof/>
                <w:webHidden/>
              </w:rPr>
              <w:tab/>
            </w:r>
            <w:r>
              <w:rPr>
                <w:noProof/>
                <w:webHidden/>
              </w:rPr>
              <w:fldChar w:fldCharType="begin"/>
            </w:r>
            <w:r w:rsidR="00BE643B">
              <w:rPr>
                <w:noProof/>
                <w:webHidden/>
              </w:rPr>
              <w:instrText xml:space="preserve"> PAGEREF _Toc455838064 \h </w:instrText>
            </w:r>
            <w:r>
              <w:rPr>
                <w:noProof/>
                <w:webHidden/>
              </w:rPr>
            </w:r>
            <w:r>
              <w:rPr>
                <w:noProof/>
                <w:webHidden/>
              </w:rPr>
              <w:fldChar w:fldCharType="separate"/>
            </w:r>
            <w:r w:rsidR="00BE643B">
              <w:rPr>
                <w:noProof/>
                <w:webHidden/>
              </w:rPr>
              <w:t>21</w:t>
            </w:r>
            <w:r>
              <w:rPr>
                <w:noProof/>
                <w:webHidden/>
              </w:rPr>
              <w:fldChar w:fldCharType="end"/>
            </w:r>
          </w:hyperlink>
        </w:p>
        <w:p w:rsidR="00BE643B" w:rsidRDefault="003352B0">
          <w:pPr>
            <w:pStyle w:val="Inhopg2"/>
            <w:tabs>
              <w:tab w:val="right" w:leader="dot" w:pos="9062"/>
            </w:tabs>
            <w:rPr>
              <w:rFonts w:eastAsiaTheme="minorEastAsia"/>
              <w:noProof/>
              <w:sz w:val="22"/>
              <w:lang w:val="nl-BE" w:eastAsia="nl-BE"/>
            </w:rPr>
          </w:pPr>
          <w:hyperlink w:anchor="_Toc455838065" w:history="1">
            <w:r w:rsidR="00BE643B" w:rsidRPr="00A35784">
              <w:rPr>
                <w:rStyle w:val="Hyperlink"/>
                <w:noProof/>
              </w:rPr>
              <w:t>3.3 Power Availability</w:t>
            </w:r>
            <w:r w:rsidR="00BE643B">
              <w:rPr>
                <w:noProof/>
                <w:webHidden/>
              </w:rPr>
              <w:tab/>
            </w:r>
            <w:r>
              <w:rPr>
                <w:noProof/>
                <w:webHidden/>
              </w:rPr>
              <w:fldChar w:fldCharType="begin"/>
            </w:r>
            <w:r w:rsidR="00BE643B">
              <w:rPr>
                <w:noProof/>
                <w:webHidden/>
              </w:rPr>
              <w:instrText xml:space="preserve"> PAGEREF _Toc455838065 \h </w:instrText>
            </w:r>
            <w:r>
              <w:rPr>
                <w:noProof/>
                <w:webHidden/>
              </w:rPr>
            </w:r>
            <w:r>
              <w:rPr>
                <w:noProof/>
                <w:webHidden/>
              </w:rPr>
              <w:fldChar w:fldCharType="separate"/>
            </w:r>
            <w:r w:rsidR="00BE643B">
              <w:rPr>
                <w:noProof/>
                <w:webHidden/>
              </w:rPr>
              <w:t>22</w:t>
            </w:r>
            <w:r>
              <w:rPr>
                <w:noProof/>
                <w:webHidden/>
              </w:rPr>
              <w:fldChar w:fldCharType="end"/>
            </w:r>
          </w:hyperlink>
        </w:p>
        <w:p w:rsidR="00BE643B" w:rsidRDefault="003352B0">
          <w:pPr>
            <w:pStyle w:val="Inhopg2"/>
            <w:tabs>
              <w:tab w:val="right" w:leader="dot" w:pos="9062"/>
            </w:tabs>
            <w:rPr>
              <w:rFonts w:eastAsiaTheme="minorEastAsia"/>
              <w:noProof/>
              <w:sz w:val="22"/>
              <w:lang w:val="nl-BE" w:eastAsia="nl-BE"/>
            </w:rPr>
          </w:pPr>
          <w:hyperlink w:anchor="_Toc455838066" w:history="1">
            <w:r w:rsidR="00BE643B" w:rsidRPr="00A35784">
              <w:rPr>
                <w:rStyle w:val="Hyperlink"/>
                <w:noProof/>
              </w:rPr>
              <w:t>3.4 Economical Benefit</w:t>
            </w:r>
            <w:r w:rsidR="00BE643B">
              <w:rPr>
                <w:noProof/>
                <w:webHidden/>
              </w:rPr>
              <w:tab/>
            </w:r>
            <w:r>
              <w:rPr>
                <w:noProof/>
                <w:webHidden/>
              </w:rPr>
              <w:fldChar w:fldCharType="begin"/>
            </w:r>
            <w:r w:rsidR="00BE643B">
              <w:rPr>
                <w:noProof/>
                <w:webHidden/>
              </w:rPr>
              <w:instrText xml:space="preserve"> PAGEREF _Toc455838066 \h </w:instrText>
            </w:r>
            <w:r>
              <w:rPr>
                <w:noProof/>
                <w:webHidden/>
              </w:rPr>
            </w:r>
            <w:r>
              <w:rPr>
                <w:noProof/>
                <w:webHidden/>
              </w:rPr>
              <w:fldChar w:fldCharType="separate"/>
            </w:r>
            <w:r w:rsidR="00BE643B">
              <w:rPr>
                <w:noProof/>
                <w:webHidden/>
              </w:rPr>
              <w:t>23</w:t>
            </w:r>
            <w:r>
              <w:rPr>
                <w:noProof/>
                <w:webHidden/>
              </w:rPr>
              <w:fldChar w:fldCharType="end"/>
            </w:r>
          </w:hyperlink>
        </w:p>
        <w:p w:rsidR="00BE643B" w:rsidRDefault="003352B0">
          <w:pPr>
            <w:pStyle w:val="Inhopg1"/>
            <w:tabs>
              <w:tab w:val="right" w:leader="dot" w:pos="9062"/>
            </w:tabs>
            <w:rPr>
              <w:rFonts w:eastAsiaTheme="minorEastAsia"/>
              <w:noProof/>
              <w:sz w:val="22"/>
              <w:lang w:val="nl-BE" w:eastAsia="nl-BE"/>
            </w:rPr>
          </w:pPr>
          <w:hyperlink w:anchor="_Toc455838067" w:history="1">
            <w:r w:rsidR="00BE643B" w:rsidRPr="00A35784">
              <w:rPr>
                <w:rStyle w:val="Hyperlink"/>
                <w:noProof/>
              </w:rPr>
              <w:t>4. Results</w:t>
            </w:r>
            <w:r w:rsidR="00BE643B">
              <w:rPr>
                <w:noProof/>
                <w:webHidden/>
              </w:rPr>
              <w:tab/>
            </w:r>
            <w:r>
              <w:rPr>
                <w:noProof/>
                <w:webHidden/>
              </w:rPr>
              <w:fldChar w:fldCharType="begin"/>
            </w:r>
            <w:r w:rsidR="00BE643B">
              <w:rPr>
                <w:noProof/>
                <w:webHidden/>
              </w:rPr>
              <w:instrText xml:space="preserve"> PAGEREF _Toc455838067 \h </w:instrText>
            </w:r>
            <w:r>
              <w:rPr>
                <w:noProof/>
                <w:webHidden/>
              </w:rPr>
            </w:r>
            <w:r>
              <w:rPr>
                <w:noProof/>
                <w:webHidden/>
              </w:rPr>
              <w:fldChar w:fldCharType="separate"/>
            </w:r>
            <w:r w:rsidR="00BE643B">
              <w:rPr>
                <w:noProof/>
                <w:webHidden/>
              </w:rPr>
              <w:t>24</w:t>
            </w:r>
            <w:r>
              <w:rPr>
                <w:noProof/>
                <w:webHidden/>
              </w:rPr>
              <w:fldChar w:fldCharType="end"/>
            </w:r>
          </w:hyperlink>
        </w:p>
        <w:p w:rsidR="00BE643B" w:rsidRDefault="003352B0">
          <w:pPr>
            <w:pStyle w:val="Inhopg2"/>
            <w:tabs>
              <w:tab w:val="right" w:leader="dot" w:pos="9062"/>
            </w:tabs>
            <w:rPr>
              <w:rFonts w:eastAsiaTheme="minorEastAsia"/>
              <w:noProof/>
              <w:sz w:val="22"/>
              <w:lang w:val="nl-BE" w:eastAsia="nl-BE"/>
            </w:rPr>
          </w:pPr>
          <w:hyperlink w:anchor="_Toc455838068" w:history="1">
            <w:r w:rsidR="00BE643B" w:rsidRPr="00A35784">
              <w:rPr>
                <w:rStyle w:val="Hyperlink"/>
                <w:noProof/>
              </w:rPr>
              <w:t>4.1 Type Selection</w:t>
            </w:r>
            <w:r w:rsidR="00BE643B">
              <w:rPr>
                <w:noProof/>
                <w:webHidden/>
              </w:rPr>
              <w:tab/>
            </w:r>
            <w:r>
              <w:rPr>
                <w:noProof/>
                <w:webHidden/>
              </w:rPr>
              <w:fldChar w:fldCharType="begin"/>
            </w:r>
            <w:r w:rsidR="00BE643B">
              <w:rPr>
                <w:noProof/>
                <w:webHidden/>
              </w:rPr>
              <w:instrText xml:space="preserve"> PAGEREF _Toc455838068 \h </w:instrText>
            </w:r>
            <w:r>
              <w:rPr>
                <w:noProof/>
                <w:webHidden/>
              </w:rPr>
            </w:r>
            <w:r>
              <w:rPr>
                <w:noProof/>
                <w:webHidden/>
              </w:rPr>
              <w:fldChar w:fldCharType="separate"/>
            </w:r>
            <w:r w:rsidR="00BE643B">
              <w:rPr>
                <w:noProof/>
                <w:webHidden/>
              </w:rPr>
              <w:t>24</w:t>
            </w:r>
            <w:r>
              <w:rPr>
                <w:noProof/>
                <w:webHidden/>
              </w:rPr>
              <w:fldChar w:fldCharType="end"/>
            </w:r>
          </w:hyperlink>
        </w:p>
        <w:p w:rsidR="00BE643B" w:rsidRDefault="003352B0">
          <w:pPr>
            <w:pStyle w:val="Inhopg2"/>
            <w:tabs>
              <w:tab w:val="right" w:leader="dot" w:pos="9062"/>
            </w:tabs>
            <w:rPr>
              <w:rFonts w:eastAsiaTheme="minorEastAsia"/>
              <w:noProof/>
              <w:sz w:val="22"/>
              <w:lang w:val="nl-BE" w:eastAsia="nl-BE"/>
            </w:rPr>
          </w:pPr>
          <w:hyperlink w:anchor="_Toc455838069" w:history="1">
            <w:r w:rsidR="00BE643B" w:rsidRPr="00A35784">
              <w:rPr>
                <w:rStyle w:val="Hyperlink"/>
                <w:noProof/>
              </w:rPr>
              <w:t>4.2 Space Availability</w:t>
            </w:r>
            <w:r w:rsidR="00BE643B">
              <w:rPr>
                <w:noProof/>
                <w:webHidden/>
              </w:rPr>
              <w:tab/>
            </w:r>
            <w:r>
              <w:rPr>
                <w:noProof/>
                <w:webHidden/>
              </w:rPr>
              <w:fldChar w:fldCharType="begin"/>
            </w:r>
            <w:r w:rsidR="00BE643B">
              <w:rPr>
                <w:noProof/>
                <w:webHidden/>
              </w:rPr>
              <w:instrText xml:space="preserve"> PAGEREF _Toc455838069 \h </w:instrText>
            </w:r>
            <w:r>
              <w:rPr>
                <w:noProof/>
                <w:webHidden/>
              </w:rPr>
            </w:r>
            <w:r>
              <w:rPr>
                <w:noProof/>
                <w:webHidden/>
              </w:rPr>
              <w:fldChar w:fldCharType="separate"/>
            </w:r>
            <w:r w:rsidR="00BE643B">
              <w:rPr>
                <w:noProof/>
                <w:webHidden/>
              </w:rPr>
              <w:t>24</w:t>
            </w:r>
            <w:r>
              <w:rPr>
                <w:noProof/>
                <w:webHidden/>
              </w:rPr>
              <w:fldChar w:fldCharType="end"/>
            </w:r>
          </w:hyperlink>
        </w:p>
        <w:p w:rsidR="00BE643B" w:rsidRDefault="003352B0">
          <w:pPr>
            <w:pStyle w:val="Inhopg2"/>
            <w:tabs>
              <w:tab w:val="right" w:leader="dot" w:pos="9062"/>
            </w:tabs>
            <w:rPr>
              <w:rFonts w:eastAsiaTheme="minorEastAsia"/>
              <w:noProof/>
              <w:sz w:val="22"/>
              <w:lang w:val="nl-BE" w:eastAsia="nl-BE"/>
            </w:rPr>
          </w:pPr>
          <w:hyperlink w:anchor="_Toc455838070" w:history="1">
            <w:r w:rsidR="00BE643B" w:rsidRPr="00A35784">
              <w:rPr>
                <w:rStyle w:val="Hyperlink"/>
                <w:noProof/>
              </w:rPr>
              <w:t>4.3 Power Availability</w:t>
            </w:r>
            <w:r w:rsidR="00BE643B">
              <w:rPr>
                <w:noProof/>
                <w:webHidden/>
              </w:rPr>
              <w:tab/>
            </w:r>
            <w:r>
              <w:rPr>
                <w:noProof/>
                <w:webHidden/>
              </w:rPr>
              <w:fldChar w:fldCharType="begin"/>
            </w:r>
            <w:r w:rsidR="00BE643B">
              <w:rPr>
                <w:noProof/>
                <w:webHidden/>
              </w:rPr>
              <w:instrText xml:space="preserve"> PAGEREF _Toc455838070 \h </w:instrText>
            </w:r>
            <w:r>
              <w:rPr>
                <w:noProof/>
                <w:webHidden/>
              </w:rPr>
            </w:r>
            <w:r>
              <w:rPr>
                <w:noProof/>
                <w:webHidden/>
              </w:rPr>
              <w:fldChar w:fldCharType="separate"/>
            </w:r>
            <w:r w:rsidR="00BE643B">
              <w:rPr>
                <w:noProof/>
                <w:webHidden/>
              </w:rPr>
              <w:t>26</w:t>
            </w:r>
            <w:r>
              <w:rPr>
                <w:noProof/>
                <w:webHidden/>
              </w:rPr>
              <w:fldChar w:fldCharType="end"/>
            </w:r>
          </w:hyperlink>
        </w:p>
        <w:p w:rsidR="00BE643B" w:rsidRDefault="003352B0">
          <w:pPr>
            <w:pStyle w:val="Inhopg2"/>
            <w:tabs>
              <w:tab w:val="right" w:leader="dot" w:pos="9062"/>
            </w:tabs>
            <w:rPr>
              <w:rFonts w:eastAsiaTheme="minorEastAsia"/>
              <w:noProof/>
              <w:sz w:val="22"/>
              <w:lang w:val="nl-BE" w:eastAsia="nl-BE"/>
            </w:rPr>
          </w:pPr>
          <w:hyperlink w:anchor="_Toc455838071" w:history="1">
            <w:r w:rsidR="00BE643B" w:rsidRPr="00A35784">
              <w:rPr>
                <w:rStyle w:val="Hyperlink"/>
                <w:noProof/>
              </w:rPr>
              <w:t>4.4 Economical Benefit</w:t>
            </w:r>
            <w:r w:rsidR="00BE643B">
              <w:rPr>
                <w:noProof/>
                <w:webHidden/>
              </w:rPr>
              <w:tab/>
            </w:r>
            <w:r>
              <w:rPr>
                <w:noProof/>
                <w:webHidden/>
              </w:rPr>
              <w:fldChar w:fldCharType="begin"/>
            </w:r>
            <w:r w:rsidR="00BE643B">
              <w:rPr>
                <w:noProof/>
                <w:webHidden/>
              </w:rPr>
              <w:instrText xml:space="preserve"> PAGEREF _Toc455838071 \h </w:instrText>
            </w:r>
            <w:r>
              <w:rPr>
                <w:noProof/>
                <w:webHidden/>
              </w:rPr>
            </w:r>
            <w:r>
              <w:rPr>
                <w:noProof/>
                <w:webHidden/>
              </w:rPr>
              <w:fldChar w:fldCharType="separate"/>
            </w:r>
            <w:r w:rsidR="00BE643B">
              <w:rPr>
                <w:noProof/>
                <w:webHidden/>
              </w:rPr>
              <w:t>26</w:t>
            </w:r>
            <w:r>
              <w:rPr>
                <w:noProof/>
                <w:webHidden/>
              </w:rPr>
              <w:fldChar w:fldCharType="end"/>
            </w:r>
          </w:hyperlink>
        </w:p>
        <w:p w:rsidR="00BE643B" w:rsidRDefault="003352B0">
          <w:pPr>
            <w:pStyle w:val="Inhopg1"/>
            <w:tabs>
              <w:tab w:val="right" w:leader="dot" w:pos="9062"/>
            </w:tabs>
            <w:rPr>
              <w:rFonts w:eastAsiaTheme="minorEastAsia"/>
              <w:noProof/>
              <w:sz w:val="22"/>
              <w:lang w:val="nl-BE" w:eastAsia="nl-BE"/>
            </w:rPr>
          </w:pPr>
          <w:hyperlink w:anchor="_Toc455838072" w:history="1">
            <w:r w:rsidR="00BE643B" w:rsidRPr="00A35784">
              <w:rPr>
                <w:rStyle w:val="Hyperlink"/>
                <w:noProof/>
              </w:rPr>
              <w:t>5. Discussion</w:t>
            </w:r>
            <w:r w:rsidR="00BE643B">
              <w:rPr>
                <w:noProof/>
                <w:webHidden/>
              </w:rPr>
              <w:tab/>
            </w:r>
            <w:r>
              <w:rPr>
                <w:noProof/>
                <w:webHidden/>
              </w:rPr>
              <w:fldChar w:fldCharType="begin"/>
            </w:r>
            <w:r w:rsidR="00BE643B">
              <w:rPr>
                <w:noProof/>
                <w:webHidden/>
              </w:rPr>
              <w:instrText xml:space="preserve"> PAGEREF _Toc455838072 \h </w:instrText>
            </w:r>
            <w:r>
              <w:rPr>
                <w:noProof/>
                <w:webHidden/>
              </w:rPr>
            </w:r>
            <w:r>
              <w:rPr>
                <w:noProof/>
                <w:webHidden/>
              </w:rPr>
              <w:fldChar w:fldCharType="separate"/>
            </w:r>
            <w:r w:rsidR="00BE643B">
              <w:rPr>
                <w:noProof/>
                <w:webHidden/>
              </w:rPr>
              <w:t>28</w:t>
            </w:r>
            <w:r>
              <w:rPr>
                <w:noProof/>
                <w:webHidden/>
              </w:rPr>
              <w:fldChar w:fldCharType="end"/>
            </w:r>
          </w:hyperlink>
        </w:p>
        <w:p w:rsidR="00BE643B" w:rsidRDefault="003352B0">
          <w:pPr>
            <w:pStyle w:val="Inhopg1"/>
            <w:tabs>
              <w:tab w:val="right" w:leader="dot" w:pos="9062"/>
            </w:tabs>
            <w:rPr>
              <w:rFonts w:eastAsiaTheme="minorEastAsia"/>
              <w:noProof/>
              <w:sz w:val="22"/>
              <w:lang w:val="nl-BE" w:eastAsia="nl-BE"/>
            </w:rPr>
          </w:pPr>
          <w:hyperlink w:anchor="_Toc455838073" w:history="1">
            <w:r w:rsidR="00BE643B" w:rsidRPr="00A35784">
              <w:rPr>
                <w:rStyle w:val="Hyperlink"/>
                <w:noProof/>
              </w:rPr>
              <w:t>6. Conclusions and Recommendations</w:t>
            </w:r>
            <w:r w:rsidR="00BE643B">
              <w:rPr>
                <w:noProof/>
                <w:webHidden/>
              </w:rPr>
              <w:tab/>
            </w:r>
            <w:r>
              <w:rPr>
                <w:noProof/>
                <w:webHidden/>
              </w:rPr>
              <w:fldChar w:fldCharType="begin"/>
            </w:r>
            <w:r w:rsidR="00BE643B">
              <w:rPr>
                <w:noProof/>
                <w:webHidden/>
              </w:rPr>
              <w:instrText xml:space="preserve"> PAGEREF _Toc455838073 \h </w:instrText>
            </w:r>
            <w:r>
              <w:rPr>
                <w:noProof/>
                <w:webHidden/>
              </w:rPr>
            </w:r>
            <w:r>
              <w:rPr>
                <w:noProof/>
                <w:webHidden/>
              </w:rPr>
              <w:fldChar w:fldCharType="separate"/>
            </w:r>
            <w:r w:rsidR="00BE643B">
              <w:rPr>
                <w:noProof/>
                <w:webHidden/>
              </w:rPr>
              <w:t>29</w:t>
            </w:r>
            <w:r>
              <w:rPr>
                <w:noProof/>
                <w:webHidden/>
              </w:rPr>
              <w:fldChar w:fldCharType="end"/>
            </w:r>
          </w:hyperlink>
        </w:p>
        <w:p w:rsidR="00BE643B" w:rsidRDefault="003352B0">
          <w:pPr>
            <w:pStyle w:val="Inhopg1"/>
            <w:tabs>
              <w:tab w:val="right" w:leader="dot" w:pos="9062"/>
            </w:tabs>
            <w:rPr>
              <w:rFonts w:eastAsiaTheme="minorEastAsia"/>
              <w:noProof/>
              <w:sz w:val="22"/>
              <w:lang w:val="nl-BE" w:eastAsia="nl-BE"/>
            </w:rPr>
          </w:pPr>
          <w:hyperlink w:anchor="_Toc455838074" w:history="1">
            <w:r w:rsidR="00BE643B" w:rsidRPr="00A35784">
              <w:rPr>
                <w:rStyle w:val="Hyperlink"/>
                <w:noProof/>
              </w:rPr>
              <w:t>References</w:t>
            </w:r>
            <w:r w:rsidR="00BE643B">
              <w:rPr>
                <w:noProof/>
                <w:webHidden/>
              </w:rPr>
              <w:tab/>
            </w:r>
            <w:r>
              <w:rPr>
                <w:noProof/>
                <w:webHidden/>
              </w:rPr>
              <w:fldChar w:fldCharType="begin"/>
            </w:r>
            <w:r w:rsidR="00BE643B">
              <w:rPr>
                <w:noProof/>
                <w:webHidden/>
              </w:rPr>
              <w:instrText xml:space="preserve"> PAGEREF _Toc455838074 \h </w:instrText>
            </w:r>
            <w:r>
              <w:rPr>
                <w:noProof/>
                <w:webHidden/>
              </w:rPr>
            </w:r>
            <w:r>
              <w:rPr>
                <w:noProof/>
                <w:webHidden/>
              </w:rPr>
              <w:fldChar w:fldCharType="separate"/>
            </w:r>
            <w:r w:rsidR="00BE643B">
              <w:rPr>
                <w:noProof/>
                <w:webHidden/>
              </w:rPr>
              <w:t>30</w:t>
            </w:r>
            <w:r>
              <w:rPr>
                <w:noProof/>
                <w:webHidden/>
              </w:rPr>
              <w:fldChar w:fldCharType="end"/>
            </w:r>
          </w:hyperlink>
        </w:p>
        <w:p w:rsidR="00BE643B" w:rsidRDefault="003352B0">
          <w:pPr>
            <w:pStyle w:val="Inhopg1"/>
            <w:tabs>
              <w:tab w:val="right" w:leader="dot" w:pos="9062"/>
            </w:tabs>
            <w:rPr>
              <w:rFonts w:eastAsiaTheme="minorEastAsia"/>
              <w:noProof/>
              <w:sz w:val="22"/>
              <w:lang w:val="nl-BE" w:eastAsia="nl-BE"/>
            </w:rPr>
          </w:pPr>
          <w:hyperlink w:anchor="_Toc455838075" w:history="1">
            <w:r w:rsidR="00BE643B" w:rsidRPr="00A35784">
              <w:rPr>
                <w:rStyle w:val="Hyperlink"/>
                <w:noProof/>
              </w:rPr>
              <w:t>Appendix A: Ship Particulars</w:t>
            </w:r>
            <w:r w:rsidR="00BE643B">
              <w:rPr>
                <w:noProof/>
                <w:webHidden/>
              </w:rPr>
              <w:tab/>
            </w:r>
            <w:r>
              <w:rPr>
                <w:noProof/>
                <w:webHidden/>
              </w:rPr>
              <w:fldChar w:fldCharType="begin"/>
            </w:r>
            <w:r w:rsidR="00BE643B">
              <w:rPr>
                <w:noProof/>
                <w:webHidden/>
              </w:rPr>
              <w:instrText xml:space="preserve"> PAGEREF _Toc455838075 \h </w:instrText>
            </w:r>
            <w:r>
              <w:rPr>
                <w:noProof/>
                <w:webHidden/>
              </w:rPr>
            </w:r>
            <w:r>
              <w:rPr>
                <w:noProof/>
                <w:webHidden/>
              </w:rPr>
              <w:fldChar w:fldCharType="separate"/>
            </w:r>
            <w:r w:rsidR="00BE643B">
              <w:rPr>
                <w:noProof/>
                <w:webHidden/>
              </w:rPr>
              <w:t>31</w:t>
            </w:r>
            <w:r>
              <w:rPr>
                <w:noProof/>
                <w:webHidden/>
              </w:rPr>
              <w:fldChar w:fldCharType="end"/>
            </w:r>
          </w:hyperlink>
        </w:p>
        <w:p w:rsidR="00BE643B" w:rsidRDefault="003352B0">
          <w:pPr>
            <w:pStyle w:val="Inhopg1"/>
            <w:tabs>
              <w:tab w:val="right" w:leader="dot" w:pos="9062"/>
            </w:tabs>
            <w:rPr>
              <w:rFonts w:eastAsiaTheme="minorEastAsia"/>
              <w:noProof/>
              <w:sz w:val="22"/>
              <w:lang w:val="nl-BE" w:eastAsia="nl-BE"/>
            </w:rPr>
          </w:pPr>
          <w:hyperlink w:anchor="_Toc455838076" w:history="1">
            <w:r w:rsidR="00BE643B" w:rsidRPr="00A35784">
              <w:rPr>
                <w:rStyle w:val="Hyperlink"/>
                <w:noProof/>
              </w:rPr>
              <w:t>Appendix B: Main Engine Data</w:t>
            </w:r>
            <w:r w:rsidR="00BE643B">
              <w:rPr>
                <w:noProof/>
                <w:webHidden/>
              </w:rPr>
              <w:tab/>
            </w:r>
            <w:r>
              <w:rPr>
                <w:noProof/>
                <w:webHidden/>
              </w:rPr>
              <w:fldChar w:fldCharType="begin"/>
            </w:r>
            <w:r w:rsidR="00BE643B">
              <w:rPr>
                <w:noProof/>
                <w:webHidden/>
              </w:rPr>
              <w:instrText xml:space="preserve"> PAGEREF _Toc455838076 \h </w:instrText>
            </w:r>
            <w:r>
              <w:rPr>
                <w:noProof/>
                <w:webHidden/>
              </w:rPr>
            </w:r>
            <w:r>
              <w:rPr>
                <w:noProof/>
                <w:webHidden/>
              </w:rPr>
              <w:fldChar w:fldCharType="separate"/>
            </w:r>
            <w:r w:rsidR="00BE643B">
              <w:rPr>
                <w:noProof/>
                <w:webHidden/>
              </w:rPr>
              <w:t>32</w:t>
            </w:r>
            <w:r>
              <w:rPr>
                <w:noProof/>
                <w:webHidden/>
              </w:rPr>
              <w:fldChar w:fldCharType="end"/>
            </w:r>
          </w:hyperlink>
        </w:p>
        <w:p w:rsidR="00BE643B" w:rsidRDefault="003352B0">
          <w:pPr>
            <w:pStyle w:val="Inhopg1"/>
            <w:tabs>
              <w:tab w:val="right" w:leader="dot" w:pos="9062"/>
            </w:tabs>
            <w:rPr>
              <w:rFonts w:eastAsiaTheme="minorEastAsia"/>
              <w:noProof/>
              <w:sz w:val="22"/>
              <w:lang w:val="nl-BE" w:eastAsia="nl-BE"/>
            </w:rPr>
          </w:pPr>
          <w:hyperlink w:anchor="_Toc455838077" w:history="1">
            <w:r w:rsidR="00BE643B" w:rsidRPr="00A35784">
              <w:rPr>
                <w:rStyle w:val="Hyperlink"/>
                <w:noProof/>
              </w:rPr>
              <w:t>Appendix C: Casing Adjustments - View from the top</w:t>
            </w:r>
            <w:r w:rsidR="00BE643B">
              <w:rPr>
                <w:noProof/>
                <w:webHidden/>
              </w:rPr>
              <w:tab/>
            </w:r>
            <w:r>
              <w:rPr>
                <w:noProof/>
                <w:webHidden/>
              </w:rPr>
              <w:fldChar w:fldCharType="begin"/>
            </w:r>
            <w:r w:rsidR="00BE643B">
              <w:rPr>
                <w:noProof/>
                <w:webHidden/>
              </w:rPr>
              <w:instrText xml:space="preserve"> PAGEREF _Toc455838077 \h </w:instrText>
            </w:r>
            <w:r>
              <w:rPr>
                <w:noProof/>
                <w:webHidden/>
              </w:rPr>
            </w:r>
            <w:r>
              <w:rPr>
                <w:noProof/>
                <w:webHidden/>
              </w:rPr>
              <w:fldChar w:fldCharType="separate"/>
            </w:r>
            <w:r w:rsidR="00BE643B">
              <w:rPr>
                <w:noProof/>
                <w:webHidden/>
              </w:rPr>
              <w:t>33</w:t>
            </w:r>
            <w:r>
              <w:rPr>
                <w:noProof/>
                <w:webHidden/>
              </w:rPr>
              <w:fldChar w:fldCharType="end"/>
            </w:r>
          </w:hyperlink>
        </w:p>
        <w:p w:rsidR="00BE643B" w:rsidRDefault="003352B0">
          <w:pPr>
            <w:pStyle w:val="Inhopg1"/>
            <w:tabs>
              <w:tab w:val="right" w:leader="dot" w:pos="9062"/>
            </w:tabs>
            <w:rPr>
              <w:rFonts w:eastAsiaTheme="minorEastAsia"/>
              <w:noProof/>
              <w:sz w:val="22"/>
              <w:lang w:val="nl-BE" w:eastAsia="nl-BE"/>
            </w:rPr>
          </w:pPr>
          <w:hyperlink w:anchor="_Toc455838078" w:history="1">
            <w:r w:rsidR="00BE643B" w:rsidRPr="00A35784">
              <w:rPr>
                <w:rStyle w:val="Hyperlink"/>
                <w:noProof/>
              </w:rPr>
              <w:t>Appendix D: Casing Adjustments - View from the side</w:t>
            </w:r>
            <w:r w:rsidR="00BE643B">
              <w:rPr>
                <w:noProof/>
                <w:webHidden/>
              </w:rPr>
              <w:tab/>
            </w:r>
            <w:r>
              <w:rPr>
                <w:noProof/>
                <w:webHidden/>
              </w:rPr>
              <w:fldChar w:fldCharType="begin"/>
            </w:r>
            <w:r w:rsidR="00BE643B">
              <w:rPr>
                <w:noProof/>
                <w:webHidden/>
              </w:rPr>
              <w:instrText xml:space="preserve"> PAGEREF _Toc455838078 \h </w:instrText>
            </w:r>
            <w:r>
              <w:rPr>
                <w:noProof/>
                <w:webHidden/>
              </w:rPr>
            </w:r>
            <w:r>
              <w:rPr>
                <w:noProof/>
                <w:webHidden/>
              </w:rPr>
              <w:fldChar w:fldCharType="separate"/>
            </w:r>
            <w:r w:rsidR="00BE643B">
              <w:rPr>
                <w:noProof/>
                <w:webHidden/>
              </w:rPr>
              <w:t>34</w:t>
            </w:r>
            <w:r>
              <w:rPr>
                <w:noProof/>
                <w:webHidden/>
              </w:rPr>
              <w:fldChar w:fldCharType="end"/>
            </w:r>
          </w:hyperlink>
        </w:p>
        <w:p w:rsidR="00BE643B" w:rsidRDefault="003352B0">
          <w:pPr>
            <w:pStyle w:val="Inhopg1"/>
            <w:tabs>
              <w:tab w:val="right" w:leader="dot" w:pos="9062"/>
            </w:tabs>
            <w:rPr>
              <w:rFonts w:eastAsiaTheme="minorEastAsia"/>
              <w:noProof/>
              <w:sz w:val="22"/>
              <w:lang w:val="nl-BE" w:eastAsia="nl-BE"/>
            </w:rPr>
          </w:pPr>
          <w:hyperlink w:anchor="_Toc455838079" w:history="1">
            <w:r w:rsidR="00BE643B" w:rsidRPr="00A35784">
              <w:rPr>
                <w:rStyle w:val="Hyperlink"/>
                <w:noProof/>
              </w:rPr>
              <w:t>Appendix E: Final Casing Dimensions</w:t>
            </w:r>
            <w:r w:rsidR="00BE643B">
              <w:rPr>
                <w:noProof/>
                <w:webHidden/>
              </w:rPr>
              <w:tab/>
            </w:r>
            <w:r>
              <w:rPr>
                <w:noProof/>
                <w:webHidden/>
              </w:rPr>
              <w:fldChar w:fldCharType="begin"/>
            </w:r>
            <w:r w:rsidR="00BE643B">
              <w:rPr>
                <w:noProof/>
                <w:webHidden/>
              </w:rPr>
              <w:instrText xml:space="preserve"> PAGEREF _Toc455838079 \h </w:instrText>
            </w:r>
            <w:r>
              <w:rPr>
                <w:noProof/>
                <w:webHidden/>
              </w:rPr>
            </w:r>
            <w:r>
              <w:rPr>
                <w:noProof/>
                <w:webHidden/>
              </w:rPr>
              <w:fldChar w:fldCharType="separate"/>
            </w:r>
            <w:r w:rsidR="00BE643B">
              <w:rPr>
                <w:noProof/>
                <w:webHidden/>
              </w:rPr>
              <w:t>35</w:t>
            </w:r>
            <w:r>
              <w:rPr>
                <w:noProof/>
                <w:webHidden/>
              </w:rPr>
              <w:fldChar w:fldCharType="end"/>
            </w:r>
          </w:hyperlink>
        </w:p>
        <w:p w:rsidR="00BE643B" w:rsidRDefault="003352B0">
          <w:pPr>
            <w:pStyle w:val="Inhopg1"/>
            <w:tabs>
              <w:tab w:val="right" w:leader="dot" w:pos="9062"/>
            </w:tabs>
            <w:rPr>
              <w:rFonts w:eastAsiaTheme="minorEastAsia"/>
              <w:noProof/>
              <w:sz w:val="22"/>
              <w:lang w:val="nl-BE" w:eastAsia="nl-BE"/>
            </w:rPr>
          </w:pPr>
          <w:hyperlink w:anchor="_Toc455838080" w:history="1">
            <w:r w:rsidR="00BE643B" w:rsidRPr="00A35784">
              <w:rPr>
                <w:rStyle w:val="Hyperlink"/>
                <w:noProof/>
              </w:rPr>
              <w:t>Appendix</w:t>
            </w:r>
            <w:r w:rsidR="00BE643B" w:rsidRPr="00A35784">
              <w:rPr>
                <w:rStyle w:val="Hyperlink"/>
                <w:noProof/>
                <w:lang w:val="nl-BE" w:eastAsia="nl-BE"/>
              </w:rPr>
              <w:t xml:space="preserve"> F: Engine Room Tanktop Ground Plan</w:t>
            </w:r>
            <w:r w:rsidR="00BE643B">
              <w:rPr>
                <w:noProof/>
                <w:webHidden/>
              </w:rPr>
              <w:tab/>
            </w:r>
            <w:r>
              <w:rPr>
                <w:noProof/>
                <w:webHidden/>
              </w:rPr>
              <w:fldChar w:fldCharType="begin"/>
            </w:r>
            <w:r w:rsidR="00BE643B">
              <w:rPr>
                <w:noProof/>
                <w:webHidden/>
              </w:rPr>
              <w:instrText xml:space="preserve"> PAGEREF _Toc455838080 \h </w:instrText>
            </w:r>
            <w:r>
              <w:rPr>
                <w:noProof/>
                <w:webHidden/>
              </w:rPr>
            </w:r>
            <w:r>
              <w:rPr>
                <w:noProof/>
                <w:webHidden/>
              </w:rPr>
              <w:fldChar w:fldCharType="separate"/>
            </w:r>
            <w:r w:rsidR="00BE643B">
              <w:rPr>
                <w:noProof/>
                <w:webHidden/>
              </w:rPr>
              <w:t>36</w:t>
            </w:r>
            <w:r>
              <w:rPr>
                <w:noProof/>
                <w:webHidden/>
              </w:rPr>
              <w:fldChar w:fldCharType="end"/>
            </w:r>
          </w:hyperlink>
        </w:p>
        <w:p w:rsidR="00BE643B" w:rsidRDefault="003352B0">
          <w:pPr>
            <w:pStyle w:val="Inhopg1"/>
            <w:tabs>
              <w:tab w:val="right" w:leader="dot" w:pos="9062"/>
            </w:tabs>
            <w:rPr>
              <w:rFonts w:eastAsiaTheme="minorEastAsia"/>
              <w:noProof/>
              <w:sz w:val="22"/>
              <w:lang w:val="nl-BE" w:eastAsia="nl-BE"/>
            </w:rPr>
          </w:pPr>
          <w:hyperlink w:anchor="_Toc455838081" w:history="1">
            <w:r w:rsidR="00BE643B" w:rsidRPr="00A35784">
              <w:rPr>
                <w:rStyle w:val="Hyperlink"/>
                <w:noProof/>
              </w:rPr>
              <w:t>Appendix</w:t>
            </w:r>
            <w:r w:rsidR="00BE643B" w:rsidRPr="00A35784">
              <w:rPr>
                <w:rStyle w:val="Hyperlink"/>
                <w:noProof/>
                <w:lang w:val="nl-BE" w:eastAsia="nl-BE"/>
              </w:rPr>
              <w:t xml:space="preserve"> G: Engine Room Tanktop 3D-Drawing</w:t>
            </w:r>
            <w:r w:rsidR="00BE643B">
              <w:rPr>
                <w:noProof/>
                <w:webHidden/>
              </w:rPr>
              <w:tab/>
            </w:r>
            <w:r>
              <w:rPr>
                <w:noProof/>
                <w:webHidden/>
              </w:rPr>
              <w:fldChar w:fldCharType="begin"/>
            </w:r>
            <w:r w:rsidR="00BE643B">
              <w:rPr>
                <w:noProof/>
                <w:webHidden/>
              </w:rPr>
              <w:instrText xml:space="preserve"> PAGEREF _Toc455838081 \h </w:instrText>
            </w:r>
            <w:r>
              <w:rPr>
                <w:noProof/>
                <w:webHidden/>
              </w:rPr>
            </w:r>
            <w:r>
              <w:rPr>
                <w:noProof/>
                <w:webHidden/>
              </w:rPr>
              <w:fldChar w:fldCharType="separate"/>
            </w:r>
            <w:r w:rsidR="00BE643B">
              <w:rPr>
                <w:noProof/>
                <w:webHidden/>
              </w:rPr>
              <w:t>37</w:t>
            </w:r>
            <w:r>
              <w:rPr>
                <w:noProof/>
                <w:webHidden/>
              </w:rPr>
              <w:fldChar w:fldCharType="end"/>
            </w:r>
          </w:hyperlink>
        </w:p>
        <w:p w:rsidR="00BE643B" w:rsidRDefault="003352B0">
          <w:pPr>
            <w:pStyle w:val="Inhopg1"/>
            <w:tabs>
              <w:tab w:val="right" w:leader="dot" w:pos="9062"/>
            </w:tabs>
            <w:rPr>
              <w:rFonts w:eastAsiaTheme="minorEastAsia"/>
              <w:noProof/>
              <w:sz w:val="22"/>
              <w:lang w:val="nl-BE" w:eastAsia="nl-BE"/>
            </w:rPr>
          </w:pPr>
          <w:hyperlink w:anchor="_Toc455838082" w:history="1">
            <w:r w:rsidR="00BE643B" w:rsidRPr="00A35784">
              <w:rPr>
                <w:rStyle w:val="Hyperlink"/>
                <w:noProof/>
              </w:rPr>
              <w:t>Appendix H: Engine Room Tweendeck Ground Plan</w:t>
            </w:r>
            <w:r w:rsidR="00BE643B">
              <w:rPr>
                <w:noProof/>
                <w:webHidden/>
              </w:rPr>
              <w:tab/>
            </w:r>
            <w:r>
              <w:rPr>
                <w:noProof/>
                <w:webHidden/>
              </w:rPr>
              <w:fldChar w:fldCharType="begin"/>
            </w:r>
            <w:r w:rsidR="00BE643B">
              <w:rPr>
                <w:noProof/>
                <w:webHidden/>
              </w:rPr>
              <w:instrText xml:space="preserve"> PAGEREF _Toc455838082 \h </w:instrText>
            </w:r>
            <w:r>
              <w:rPr>
                <w:noProof/>
                <w:webHidden/>
              </w:rPr>
            </w:r>
            <w:r>
              <w:rPr>
                <w:noProof/>
                <w:webHidden/>
              </w:rPr>
              <w:fldChar w:fldCharType="separate"/>
            </w:r>
            <w:r w:rsidR="00BE643B">
              <w:rPr>
                <w:noProof/>
                <w:webHidden/>
              </w:rPr>
              <w:t>38</w:t>
            </w:r>
            <w:r>
              <w:rPr>
                <w:noProof/>
                <w:webHidden/>
              </w:rPr>
              <w:fldChar w:fldCharType="end"/>
            </w:r>
          </w:hyperlink>
        </w:p>
        <w:p w:rsidR="00BE643B" w:rsidRDefault="003352B0">
          <w:pPr>
            <w:pStyle w:val="Inhopg1"/>
            <w:tabs>
              <w:tab w:val="right" w:leader="dot" w:pos="9062"/>
            </w:tabs>
            <w:rPr>
              <w:rFonts w:eastAsiaTheme="minorEastAsia"/>
              <w:noProof/>
              <w:sz w:val="22"/>
              <w:lang w:val="nl-BE" w:eastAsia="nl-BE"/>
            </w:rPr>
          </w:pPr>
          <w:hyperlink w:anchor="_Toc455838083" w:history="1">
            <w:r w:rsidR="00BE643B" w:rsidRPr="00A35784">
              <w:rPr>
                <w:rStyle w:val="Hyperlink"/>
                <w:noProof/>
              </w:rPr>
              <w:t>Appendix</w:t>
            </w:r>
            <w:r w:rsidR="00BE643B" w:rsidRPr="00A35784">
              <w:rPr>
                <w:rStyle w:val="Hyperlink"/>
                <w:noProof/>
                <w:lang w:val="nl-BE" w:eastAsia="nl-BE"/>
              </w:rPr>
              <w:t xml:space="preserve"> I: Engine Room Tweendeck 3D-Drawing</w:t>
            </w:r>
            <w:r w:rsidR="00BE643B">
              <w:rPr>
                <w:noProof/>
                <w:webHidden/>
              </w:rPr>
              <w:tab/>
            </w:r>
            <w:r>
              <w:rPr>
                <w:noProof/>
                <w:webHidden/>
              </w:rPr>
              <w:fldChar w:fldCharType="begin"/>
            </w:r>
            <w:r w:rsidR="00BE643B">
              <w:rPr>
                <w:noProof/>
                <w:webHidden/>
              </w:rPr>
              <w:instrText xml:space="preserve"> PAGEREF _Toc455838083 \h </w:instrText>
            </w:r>
            <w:r>
              <w:rPr>
                <w:noProof/>
                <w:webHidden/>
              </w:rPr>
            </w:r>
            <w:r>
              <w:rPr>
                <w:noProof/>
                <w:webHidden/>
              </w:rPr>
              <w:fldChar w:fldCharType="separate"/>
            </w:r>
            <w:r w:rsidR="00BE643B">
              <w:rPr>
                <w:noProof/>
                <w:webHidden/>
              </w:rPr>
              <w:t>39</w:t>
            </w:r>
            <w:r>
              <w:rPr>
                <w:noProof/>
                <w:webHidden/>
              </w:rPr>
              <w:fldChar w:fldCharType="end"/>
            </w:r>
          </w:hyperlink>
        </w:p>
        <w:p w:rsidR="00481FD4" w:rsidRDefault="003352B0">
          <w:pPr>
            <w:rPr>
              <w:lang w:val="nl-NL"/>
            </w:rPr>
            <w:sectPr w:rsidR="00481FD4">
              <w:footerReference w:type="default" r:id="rId9"/>
              <w:pgSz w:w="11906" w:h="16838"/>
              <w:pgMar w:top="1417" w:right="1417" w:bottom="1417" w:left="1417" w:header="708" w:footer="708" w:gutter="0"/>
              <w:cols w:space="708"/>
              <w:titlePg/>
              <w:docGrid w:linePitch="360"/>
            </w:sectPr>
          </w:pPr>
          <w:r>
            <w:rPr>
              <w:lang w:val="nl-NL"/>
            </w:rPr>
            <w:fldChar w:fldCharType="end"/>
          </w:r>
        </w:p>
      </w:sdtContent>
    </w:sdt>
    <w:p w:rsidR="00B26346" w:rsidRDefault="00405508" w:rsidP="00B26346">
      <w:pPr>
        <w:pStyle w:val="Kop1"/>
        <w:jc w:val="both"/>
      </w:pPr>
      <w:bookmarkStart w:id="0" w:name="_Toc455838042"/>
      <w:r>
        <w:lastRenderedPageBreak/>
        <w:t>1. Introduction</w:t>
      </w:r>
      <w:bookmarkEnd w:id="0"/>
    </w:p>
    <w:p w:rsidR="002D245C" w:rsidRPr="002D245C" w:rsidRDefault="002D245C">
      <w:pPr>
        <w:jc w:val="both"/>
        <w:rPr>
          <w:lang w:val="en-GB"/>
        </w:rPr>
      </w:pPr>
      <w:r>
        <w:rPr>
          <w:lang w:val="en-GB"/>
        </w:rPr>
        <w:t>Ship transportation is considered the most energy efficient mode of transport producing the lowest CO</w:t>
      </w:r>
      <w:r>
        <w:rPr>
          <w:vertAlign w:val="subscript"/>
          <w:lang w:val="en-GB"/>
        </w:rPr>
        <w:t>2</w:t>
      </w:r>
      <w:r>
        <w:rPr>
          <w:lang w:val="en-GB"/>
        </w:rPr>
        <w:t xml:space="preserve"> emissions on a mass and distance basis</w:t>
      </w:r>
      <w:sdt>
        <w:sdtPr>
          <w:rPr>
            <w:lang w:val="en-GB"/>
          </w:rPr>
          <w:id w:val="-2030540133"/>
          <w:citation/>
        </w:sdtPr>
        <w:sdtContent>
          <w:r w:rsidR="003352B0">
            <w:rPr>
              <w:lang w:val="en-GB"/>
            </w:rPr>
            <w:fldChar w:fldCharType="begin"/>
          </w:r>
          <w:r w:rsidR="00190F3F" w:rsidRPr="00360504">
            <w:instrText xml:space="preserve"> CITATION CIM13 \l 2067 </w:instrText>
          </w:r>
          <w:r w:rsidR="003352B0">
            <w:rPr>
              <w:lang w:val="en-GB"/>
            </w:rPr>
            <w:fldChar w:fldCharType="separate"/>
          </w:r>
          <w:r w:rsidR="00190F3F" w:rsidRPr="00360504">
            <w:rPr>
              <w:noProof/>
            </w:rPr>
            <w:t xml:space="preserve"> (CIMAC, 2013)</w:t>
          </w:r>
          <w:r w:rsidR="003352B0">
            <w:rPr>
              <w:lang w:val="en-GB"/>
            </w:rPr>
            <w:fldChar w:fldCharType="end"/>
          </w:r>
        </w:sdtContent>
      </w:sdt>
      <w:r>
        <w:rPr>
          <w:lang w:val="en-GB"/>
        </w:rPr>
        <w:t xml:space="preserve">. Nevertheless, </w:t>
      </w:r>
      <w:proofErr w:type="spellStart"/>
      <w:r>
        <w:rPr>
          <w:lang w:val="en-GB"/>
        </w:rPr>
        <w:t>SO</w:t>
      </w:r>
      <w:r>
        <w:rPr>
          <w:vertAlign w:val="subscript"/>
          <w:lang w:val="en-GB"/>
        </w:rPr>
        <w:t>x</w:t>
      </w:r>
      <w:proofErr w:type="spellEnd"/>
      <w:r>
        <w:rPr>
          <w:lang w:val="en-GB"/>
        </w:rPr>
        <w:t xml:space="preserve"> emissions generated by the merchant fleet represent a significant contribution  to the global emissions. The sulphur content of marine fuels is determined by local legislation and regulated on a worldwide basis through the International Maritime Organisation (IMO) MARPOL Annex VI. LNG and other gaseous fuels are beyond the scope of this research.</w:t>
      </w:r>
    </w:p>
    <w:p w:rsidR="00481FD4" w:rsidRDefault="00405508">
      <w:pPr>
        <w:jc w:val="both"/>
        <w:rPr>
          <w:lang w:val="en-GB"/>
        </w:rPr>
      </w:pPr>
      <w:r>
        <w:rPr>
          <w:lang w:val="en-GB"/>
        </w:rPr>
        <w:t>Since January the 1</w:t>
      </w:r>
      <w:r>
        <w:rPr>
          <w:vertAlign w:val="superscript"/>
          <w:lang w:val="en-GB"/>
        </w:rPr>
        <w:t xml:space="preserve">st </w:t>
      </w:r>
      <w:r>
        <w:rPr>
          <w:lang w:val="en-GB"/>
        </w:rPr>
        <w:t xml:space="preserve">of 2015, the maximum limits for sulphur content of the fuel oils inside an 'Emission Control Area' (ECA) are set to 0.1% and will be sharpened against 2020/(2025) to a maximum global limit of 0.5%. In order </w:t>
      </w:r>
      <w:r w:rsidR="003B7757">
        <w:rPr>
          <w:lang w:val="en-GB"/>
        </w:rPr>
        <w:t>to comply with these limits and</w:t>
      </w:r>
      <w:r w:rsidR="00B55B94">
        <w:rPr>
          <w:lang w:val="en-GB"/>
        </w:rPr>
        <w:t xml:space="preserve"> to </w:t>
      </w:r>
      <w:r>
        <w:rPr>
          <w:lang w:val="en-GB"/>
        </w:rPr>
        <w:t>achieve the best te</w:t>
      </w:r>
      <w:r w:rsidR="00B55B94">
        <w:rPr>
          <w:lang w:val="en-GB"/>
        </w:rPr>
        <w:t>chnological and economic result</w:t>
      </w:r>
      <w:r>
        <w:rPr>
          <w:lang w:val="en-GB"/>
        </w:rPr>
        <w:t xml:space="preserve"> it is very important to make a well-founded decision for CFLs existing Sole vessels in the conceptual design phase. </w:t>
      </w:r>
    </w:p>
    <w:p w:rsidR="00481FD4" w:rsidRDefault="00C27FDD">
      <w:pPr>
        <w:jc w:val="both"/>
        <w:rPr>
          <w:lang w:val="en-GB"/>
        </w:rPr>
      </w:pPr>
      <w:r>
        <w:rPr>
          <w:lang w:val="en-GB"/>
        </w:rPr>
        <w:t xml:space="preserve">A number of options are in place or under development to reduce the emissions of ships. The marine industry will be one of the key areas of environmental focus for the next decade. This is expected to place a significant challenge </w:t>
      </w:r>
      <w:r w:rsidR="002D245C">
        <w:rPr>
          <w:lang w:val="en-GB"/>
        </w:rPr>
        <w:t>on the supply of sulphur fuels. Engine  builders and owners may need to optimize their engines to operate on low sulphur fuels. Exhaust gas after treatment devices such as scrubbers are an alternative to the use of low sulphur fuels as they remove the sulphur products of combustion prior to discharge of the exhaust gas to the atmosphere thus allowing the continued operation on high sulphur fuels.</w:t>
      </w:r>
    </w:p>
    <w:p w:rsidR="00481FD4" w:rsidRDefault="00405508">
      <w:pPr>
        <w:jc w:val="both"/>
        <w:rPr>
          <w:lang w:val="en-GB"/>
        </w:rPr>
      </w:pPr>
      <w:r>
        <w:rPr>
          <w:lang w:val="en-GB"/>
        </w:rPr>
        <w:t xml:space="preserve">Because of the tightening-up of the sulphur regulations and the expansion of the ECAs, the company CFL likes to determine if the installation of a scrubber is a possible and a dignified alternative. The determination will be done during this research. This leads us to the research question: </w:t>
      </w:r>
    </w:p>
    <w:p w:rsidR="002D245C" w:rsidRDefault="00405508" w:rsidP="00792CB2">
      <w:pPr>
        <w:jc w:val="both"/>
        <w:rPr>
          <w:lang w:val="en-GB"/>
        </w:rPr>
      </w:pPr>
      <w:r>
        <w:rPr>
          <w:lang w:val="en-GB"/>
        </w:rPr>
        <w:t>"Is it possible and economical to install a</w:t>
      </w:r>
      <w:r w:rsidR="00C55CCC">
        <w:rPr>
          <w:lang w:val="en-GB"/>
        </w:rPr>
        <w:t xml:space="preserve"> scrubber onboard of the vessel</w:t>
      </w:r>
      <w:r>
        <w:rPr>
          <w:lang w:val="en-GB"/>
        </w:rPr>
        <w:t xml:space="preserve"> type 'Sole 10.000' to comply with the </w:t>
      </w:r>
      <w:proofErr w:type="spellStart"/>
      <w:r>
        <w:rPr>
          <w:lang w:val="en-GB"/>
        </w:rPr>
        <w:t>SOx</w:t>
      </w:r>
      <w:proofErr w:type="spellEnd"/>
      <w:r>
        <w:rPr>
          <w:lang w:val="en-GB"/>
        </w:rPr>
        <w:t xml:space="preserve"> regulations whilst using HFO?"</w:t>
      </w:r>
    </w:p>
    <w:p w:rsidR="00792CB2" w:rsidRPr="00792CB2" w:rsidRDefault="00792CB2" w:rsidP="00792CB2">
      <w:pPr>
        <w:jc w:val="both"/>
        <w:rPr>
          <w:lang w:val="en-GB"/>
        </w:rPr>
      </w:pPr>
    </w:p>
    <w:p w:rsidR="00481FD4" w:rsidRDefault="00792CB2">
      <w:pPr>
        <w:jc w:val="both"/>
      </w:pPr>
      <w:r>
        <w:t>This installation brings economic and technical implications which need to be understood. To answer the</w:t>
      </w:r>
      <w:r w:rsidR="00405508">
        <w:t xml:space="preserve"> research question properly, the following sub-questions are drawn up:</w:t>
      </w:r>
    </w:p>
    <w:p w:rsidR="00481FD4" w:rsidRDefault="00405508">
      <w:pPr>
        <w:pStyle w:val="Lijstalinea"/>
        <w:numPr>
          <w:ilvl w:val="0"/>
          <w:numId w:val="1"/>
        </w:numPr>
        <w:jc w:val="both"/>
      </w:pPr>
      <w:r>
        <w:rPr>
          <w:lang w:val="en-GB"/>
        </w:rPr>
        <w:t xml:space="preserve">What is the most suitable scrubber-installation </w:t>
      </w:r>
      <w:r w:rsidR="0079757F">
        <w:rPr>
          <w:lang w:val="en-GB"/>
        </w:rPr>
        <w:t>for the vessel</w:t>
      </w:r>
      <w:r>
        <w:rPr>
          <w:lang w:val="en-GB"/>
        </w:rPr>
        <w:t xml:space="preserve"> type 'Sole 10.000' to comply with the </w:t>
      </w:r>
      <w:proofErr w:type="spellStart"/>
      <w:r>
        <w:rPr>
          <w:lang w:val="en-GB"/>
        </w:rPr>
        <w:t>SOx</w:t>
      </w:r>
      <w:proofErr w:type="spellEnd"/>
      <w:r>
        <w:rPr>
          <w:lang w:val="en-GB"/>
        </w:rPr>
        <w:t xml:space="preserve"> regulations?</w:t>
      </w:r>
    </w:p>
    <w:p w:rsidR="00481FD4" w:rsidRDefault="00405508">
      <w:pPr>
        <w:pStyle w:val="Lijstalinea"/>
        <w:numPr>
          <w:ilvl w:val="0"/>
          <w:numId w:val="1"/>
        </w:numPr>
        <w:jc w:val="both"/>
      </w:pPr>
      <w:r>
        <w:rPr>
          <w:lang w:val="en-GB"/>
        </w:rPr>
        <w:t>Is it possible to install a scrubber-installation onboard regarding to the available space?</w:t>
      </w:r>
    </w:p>
    <w:p w:rsidR="00481FD4" w:rsidRDefault="00405508">
      <w:pPr>
        <w:pStyle w:val="Lijstalinea"/>
        <w:numPr>
          <w:ilvl w:val="0"/>
          <w:numId w:val="1"/>
        </w:numPr>
        <w:jc w:val="both"/>
      </w:pPr>
      <w:r>
        <w:rPr>
          <w:lang w:val="en-GB"/>
        </w:rPr>
        <w:t>Is it possible to install a scrubber-installation onboard regarding to the available power supply?</w:t>
      </w:r>
    </w:p>
    <w:p w:rsidR="00481FD4" w:rsidRPr="002D245C" w:rsidRDefault="00405508" w:rsidP="002D245C">
      <w:pPr>
        <w:pStyle w:val="Lijstalinea"/>
        <w:numPr>
          <w:ilvl w:val="0"/>
          <w:numId w:val="1"/>
        </w:numPr>
        <w:jc w:val="both"/>
      </w:pPr>
      <w:r>
        <w:rPr>
          <w:lang w:val="en-GB"/>
        </w:rPr>
        <w:t>What is the economical benefit of the scrubber-installation?</w:t>
      </w:r>
    </w:p>
    <w:p w:rsidR="00481FD4" w:rsidRDefault="00405508">
      <w:pPr>
        <w:jc w:val="both"/>
        <w:rPr>
          <w:rFonts w:ascii="Calibri" w:hAnsi="Calibri"/>
          <w:lang w:val="en-GB"/>
        </w:rPr>
      </w:pPr>
      <w:r>
        <w:rPr>
          <w:rFonts w:ascii="Calibri" w:hAnsi="Calibri"/>
          <w:lang w:val="en-GB"/>
        </w:rPr>
        <w:lastRenderedPageBreak/>
        <w:t xml:space="preserve">During the research several types of information sources will be used, such as PDF-files, books, articles from newspapers and magazines, websites as well as documents from websites, papers, etc. All the consulted sources can be found in the list of references. </w:t>
      </w:r>
    </w:p>
    <w:p w:rsidR="00481FD4" w:rsidRDefault="00405508">
      <w:pPr>
        <w:jc w:val="both"/>
      </w:pPr>
      <w:r>
        <w:t xml:space="preserve">The fuel price scenario during this study is 333$/ton for MGO and 157$/ton for HFO </w:t>
      </w:r>
      <w:sdt>
        <w:sdtPr>
          <w:id w:val="134750404"/>
          <w:citation/>
        </w:sdtPr>
        <w:sdtContent>
          <w:r w:rsidR="003352B0">
            <w:fldChar w:fldCharType="begin"/>
          </w:r>
          <w:r w:rsidR="004D4B90">
            <w:instrText xml:space="preserve"> CITATION KVH16 \l 2067 </w:instrText>
          </w:r>
          <w:r w:rsidR="003352B0">
            <w:fldChar w:fldCharType="separate"/>
          </w:r>
          <w:r>
            <w:rPr>
              <w:noProof/>
            </w:rPr>
            <w:t>(Group, 2016)</w:t>
          </w:r>
          <w:r w:rsidR="003352B0">
            <w:rPr>
              <w:noProof/>
            </w:rPr>
            <w:fldChar w:fldCharType="end"/>
          </w:r>
        </w:sdtContent>
      </w:sdt>
      <w:r>
        <w:t>. Low-</w:t>
      </w:r>
      <w:proofErr w:type="spellStart"/>
      <w:r>
        <w:t>sulphur</w:t>
      </w:r>
      <w:proofErr w:type="spellEnd"/>
      <w:r>
        <w:t xml:space="preserve"> fuel referred to during this research comprises fuel with not more than 0.1% </w:t>
      </w:r>
      <w:proofErr w:type="spellStart"/>
      <w:r>
        <w:t>sulphur</w:t>
      </w:r>
      <w:proofErr w:type="spellEnd"/>
      <w:r>
        <w:t xml:space="preserve"> in the case of ECA operation as of 2015. In addition, it compromises fuel that will satisfy the global </w:t>
      </w:r>
      <w:proofErr w:type="spellStart"/>
      <w:r>
        <w:t>sulphur</w:t>
      </w:r>
      <w:proofErr w:type="spellEnd"/>
      <w:r>
        <w:t xml:space="preserve"> cap of 0.5% as of 2020 (or 2025). For simplicity reasons, all of these low-</w:t>
      </w:r>
      <w:proofErr w:type="spellStart"/>
      <w:r>
        <w:t>sulphur</w:t>
      </w:r>
      <w:proofErr w:type="spellEnd"/>
      <w:r>
        <w:t xml:space="preserve"> fuels are referred to as 'MGO'. The expectation is that the price difference between 0.1% and 0.5% </w:t>
      </w:r>
      <w:proofErr w:type="spellStart"/>
      <w:r>
        <w:t>sulphur</w:t>
      </w:r>
      <w:proofErr w:type="spellEnd"/>
      <w:r>
        <w:t xml:space="preserve"> fuel will be limited </w:t>
      </w:r>
      <w:sdt>
        <w:sdtPr>
          <w:id w:val="134750405"/>
          <w:citation/>
        </w:sdtPr>
        <w:sdtContent>
          <w:r w:rsidR="003352B0">
            <w:fldChar w:fldCharType="begin"/>
          </w:r>
          <w:r w:rsidR="004D4B90">
            <w:instrText xml:space="preserve"> CITATION Kli12 \l 2067 </w:instrText>
          </w:r>
          <w:r w:rsidR="003352B0">
            <w:fldChar w:fldCharType="separate"/>
          </w:r>
          <w:r>
            <w:rPr>
              <w:noProof/>
            </w:rPr>
            <w:t>(Klimt-Mollenbach, Schack, Eefsen, &amp; De Kat, 2012)</w:t>
          </w:r>
          <w:r w:rsidR="003352B0">
            <w:rPr>
              <w:noProof/>
            </w:rPr>
            <w:fldChar w:fldCharType="end"/>
          </w:r>
        </w:sdtContent>
      </w:sdt>
      <w:r>
        <w:t>. The density of HFO and MGO used for calculations during this research is respectively 0.99 tons/m</w:t>
      </w:r>
      <w:r>
        <w:rPr>
          <w:vertAlign w:val="superscript"/>
        </w:rPr>
        <w:t>3</w:t>
      </w:r>
      <w:r>
        <w:t xml:space="preserve"> and 0.85 tons/m</w:t>
      </w:r>
      <w:r>
        <w:rPr>
          <w:vertAlign w:val="superscript"/>
        </w:rPr>
        <w:t>3</w:t>
      </w:r>
      <w:r>
        <w:t>. The service speed of the vessel is rated at 12 knots.</w:t>
      </w:r>
      <w:r w:rsidR="00C27FDD">
        <w:t xml:space="preserve"> Whenever "ECA" is used in this paper, it refers to an Emission Control Area established to limit </w:t>
      </w:r>
      <w:proofErr w:type="spellStart"/>
      <w:r w:rsidR="00C27FDD">
        <w:t>SOx</w:t>
      </w:r>
      <w:proofErr w:type="spellEnd"/>
      <w:r w:rsidR="00C27FDD">
        <w:t xml:space="preserve"> and particulate matter emissions in accordance with regulation 14 of MARPOL Annex VI.</w:t>
      </w:r>
    </w:p>
    <w:p w:rsidR="00481FD4" w:rsidRPr="00792CB2" w:rsidRDefault="00D21996">
      <w:pPr>
        <w:jc w:val="both"/>
        <w:rPr>
          <w:lang w:val="en-GB"/>
        </w:rPr>
      </w:pPr>
      <w:r>
        <w:rPr>
          <w:lang w:val="en-GB"/>
        </w:rPr>
        <w:t>The</w:t>
      </w:r>
      <w:r w:rsidR="00792CB2">
        <w:rPr>
          <w:lang w:val="en-GB"/>
        </w:rPr>
        <w:t xml:space="preserve"> primary objective</w:t>
      </w:r>
      <w:r>
        <w:rPr>
          <w:lang w:val="en-GB"/>
        </w:rPr>
        <w:t xml:space="preserve"> of th</w:t>
      </w:r>
      <w:r w:rsidR="00C27FDD">
        <w:rPr>
          <w:lang w:val="en-GB"/>
        </w:rPr>
        <w:t>is publication</w:t>
      </w:r>
      <w:r>
        <w:rPr>
          <w:lang w:val="en-GB"/>
        </w:rPr>
        <w:t xml:space="preserve"> is to </w:t>
      </w:r>
      <w:r w:rsidR="00792CB2">
        <w:rPr>
          <w:lang w:val="en-GB"/>
        </w:rPr>
        <w:t>provide a reference for ship owners and charterers</w:t>
      </w:r>
      <w:r w:rsidR="00C27FDD">
        <w:rPr>
          <w:lang w:val="en-GB"/>
        </w:rPr>
        <w:t xml:space="preserve"> in general</w:t>
      </w:r>
      <w:r w:rsidR="00792CB2">
        <w:rPr>
          <w:lang w:val="en-GB"/>
        </w:rPr>
        <w:t>.</w:t>
      </w:r>
      <w:r w:rsidR="00405508">
        <w:br w:type="page"/>
      </w:r>
    </w:p>
    <w:p w:rsidR="00481FD4" w:rsidRDefault="00405508">
      <w:pPr>
        <w:pStyle w:val="Kop1"/>
        <w:jc w:val="both"/>
      </w:pPr>
      <w:bookmarkStart w:id="1" w:name="_Toc455838043"/>
      <w:r>
        <w:lastRenderedPageBreak/>
        <w:t>2. Theoretical Frame</w:t>
      </w:r>
      <w:bookmarkEnd w:id="1"/>
    </w:p>
    <w:p w:rsidR="00481FD4" w:rsidRDefault="00405508">
      <w:pPr>
        <w:pStyle w:val="Kop2"/>
      </w:pPr>
      <w:bookmarkStart w:id="2" w:name="_Toc455838044"/>
      <w:r>
        <w:t>2.1 Reference Vessel - Marvel Scan</w:t>
      </w:r>
      <w:bookmarkEnd w:id="2"/>
    </w:p>
    <w:p w:rsidR="00481FD4" w:rsidRDefault="00405508">
      <w:pPr>
        <w:jc w:val="both"/>
      </w:pPr>
      <w:r>
        <w:t>This research will compare the options to comply with the MARPOL Annex VI, Regulation 14, for the existing 10.000 DWT multipurpose Sole type vessels from</w:t>
      </w:r>
      <w:r w:rsidR="0079757F">
        <w:t xml:space="preserve"> the company</w:t>
      </w:r>
      <w:r>
        <w:t xml:space="preserve"> CFL. The ship particulars and main engine data of the concerning vessel type can be found in respectively Appendix A and Appendix B. </w:t>
      </w:r>
    </w:p>
    <w:p w:rsidR="00481FD4" w:rsidRDefault="00405508">
      <w:pPr>
        <w:pStyle w:val="Kop2"/>
      </w:pPr>
      <w:bookmarkStart w:id="3" w:name="_Toc455838045"/>
      <w:r>
        <w:t>2.2 MARPOL Annex VI</w:t>
      </w:r>
      <w:bookmarkEnd w:id="3"/>
    </w:p>
    <w:p w:rsidR="00481FD4" w:rsidRDefault="00405508">
      <w:pPr>
        <w:jc w:val="both"/>
      </w:pPr>
      <w:r>
        <w:t xml:space="preserve">Unlike the preceding Annexes I - V, which deal with single topics, MARPOL Annex VI deals with a number of air pollution streams: exhaust emissions, ozone depleting substances, volatile organic compounds and incineration. </w:t>
      </w:r>
    </w:p>
    <w:p w:rsidR="00481FD4" w:rsidRDefault="00405508">
      <w:pPr>
        <w:jc w:val="both"/>
      </w:pPr>
      <w:r>
        <w:t xml:space="preserve">Regulation 14 of MARPOL Annex VI controls </w:t>
      </w:r>
      <w:proofErr w:type="spellStart"/>
      <w:r>
        <w:t>sulphur</w:t>
      </w:r>
      <w:proofErr w:type="spellEnd"/>
      <w:r>
        <w:t xml:space="preserve"> oxides (</w:t>
      </w:r>
      <w:proofErr w:type="spellStart"/>
      <w:r>
        <w:t>SOx</w:t>
      </w:r>
      <w:proofErr w:type="spellEnd"/>
      <w:r>
        <w:t xml:space="preserve">) and particulate matter (PM) emissions through limiting the maximum </w:t>
      </w:r>
      <w:proofErr w:type="spellStart"/>
      <w:r>
        <w:t>sulphur</w:t>
      </w:r>
      <w:proofErr w:type="spellEnd"/>
      <w:r>
        <w:t xml:space="preserve"> content of the fuel oils used. These limits apply to all fuel oils used onboard and include main and all auxiliary engines together with such items as boilers and inert gas generators. </w:t>
      </w:r>
    </w:p>
    <w:p w:rsidR="00481FD4" w:rsidRDefault="00405508">
      <w:pPr>
        <w:jc w:val="both"/>
      </w:pPr>
      <w:r>
        <w:t xml:space="preserve">Furthermore, lower fuel oil </w:t>
      </w:r>
      <w:proofErr w:type="spellStart"/>
      <w:r>
        <w:t>sulphur</w:t>
      </w:r>
      <w:proofErr w:type="spellEnd"/>
      <w:r>
        <w:t xml:space="preserve"> content limits apply, with their own sequence of reduction, in Emission Control Areas (ECA). ECAs can, and have been established in areas where a higher level of protection from emissions and pollutants is required due to factors as prevailing winds, the proximity of shipping routes to centers of pollution and the natural susceptibilit</w:t>
      </w:r>
      <w:r w:rsidR="0079757F">
        <w:t>y of an area to acid deposition.</w:t>
      </w:r>
    </w:p>
    <w:p w:rsidR="00481FD4" w:rsidRDefault="00405508">
      <w:pPr>
        <w:jc w:val="both"/>
      </w:pPr>
      <w:r>
        <w:t xml:space="preserve">The fuel oil </w:t>
      </w:r>
      <w:proofErr w:type="spellStart"/>
      <w:r>
        <w:t>sulphur</w:t>
      </w:r>
      <w:proofErr w:type="spellEnd"/>
      <w:r>
        <w:t xml:space="preserve"> limits are subject</w:t>
      </w:r>
      <w:r w:rsidR="00504B89">
        <w:t>ed</w:t>
      </w:r>
      <w:r>
        <w:t xml:space="preserve"> to staged reductions, giving the industry and bunker fuel suppliers time to plan for and adjust to the changes. </w:t>
      </w:r>
      <w:r w:rsidR="00504B89">
        <w:t>The diagram</w:t>
      </w:r>
      <w:r>
        <w:t xml:space="preserve"> below </w:t>
      </w:r>
      <w:r w:rsidR="00504B89">
        <w:t>details</w:t>
      </w:r>
      <w:r>
        <w:t xml:space="preserve"> these staged changes.  </w:t>
      </w:r>
    </w:p>
    <w:p w:rsidR="00481FD4" w:rsidRDefault="00405508">
      <w:pPr>
        <w:keepNext/>
        <w:jc w:val="center"/>
      </w:pPr>
      <w:r>
        <w:rPr>
          <w:noProof/>
          <w:lang w:val="nl-BE" w:eastAsia="nl-BE"/>
        </w:rPr>
        <w:drawing>
          <wp:inline distT="0" distB="0" distL="0" distR="0">
            <wp:extent cx="3836035" cy="2386965"/>
            <wp:effectExtent l="19050" t="0" r="0" b="0"/>
            <wp:docPr id="1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836035" cy="2386965"/>
                    </a:xfrm>
                    <a:prstGeom prst="rect">
                      <a:avLst/>
                    </a:prstGeom>
                    <a:noFill/>
                    <a:ln w="9525">
                      <a:noFill/>
                      <a:miter lim="800000"/>
                      <a:headEnd/>
                      <a:tailEnd/>
                    </a:ln>
                  </pic:spPr>
                </pic:pic>
              </a:graphicData>
            </a:graphic>
          </wp:inline>
        </w:drawing>
      </w:r>
    </w:p>
    <w:p w:rsidR="00481FD4" w:rsidRDefault="00405508">
      <w:pPr>
        <w:pStyle w:val="Bijschrift"/>
        <w:jc w:val="center"/>
      </w:pPr>
      <w:r>
        <w:t xml:space="preserve">Figure </w:t>
      </w:r>
      <w:r w:rsidR="003352B0">
        <w:fldChar w:fldCharType="begin"/>
      </w:r>
      <w:r w:rsidR="004D4B90">
        <w:instrText xml:space="preserve"> SEQ Figuur \* ARABIC </w:instrText>
      </w:r>
      <w:r w:rsidR="003352B0">
        <w:fldChar w:fldCharType="separate"/>
      </w:r>
      <w:r w:rsidR="008B337B">
        <w:rPr>
          <w:noProof/>
        </w:rPr>
        <w:t>1</w:t>
      </w:r>
      <w:r w:rsidR="003352B0">
        <w:rPr>
          <w:noProof/>
        </w:rPr>
        <w:fldChar w:fldCharType="end"/>
      </w:r>
      <w:r>
        <w:t xml:space="preserve">: MARPOL Annex VI </w:t>
      </w:r>
      <w:proofErr w:type="spellStart"/>
      <w:r>
        <w:t>SOx</w:t>
      </w:r>
      <w:proofErr w:type="spellEnd"/>
      <w:r>
        <w:t xml:space="preserve"> Requirements </w:t>
      </w:r>
      <w:sdt>
        <w:sdtPr>
          <w:id w:val="134750355"/>
          <w:citation/>
        </w:sdtPr>
        <w:sdtContent>
          <w:r w:rsidR="003352B0">
            <w:fldChar w:fldCharType="begin"/>
          </w:r>
          <w:r w:rsidR="004D4B90">
            <w:instrText xml:space="preserve"> CITATION Kli12 \l 2067 </w:instrText>
          </w:r>
          <w:r w:rsidR="003352B0">
            <w:fldChar w:fldCharType="separate"/>
          </w:r>
          <w:r>
            <w:rPr>
              <w:noProof/>
            </w:rPr>
            <w:t>(Klimt-Mollenbach, Schack, Eefsen, &amp; De Kat, 2012)</w:t>
          </w:r>
          <w:r w:rsidR="003352B0">
            <w:rPr>
              <w:noProof/>
            </w:rPr>
            <w:fldChar w:fldCharType="end"/>
          </w:r>
        </w:sdtContent>
      </w:sdt>
      <w:r>
        <w:t>.</w:t>
      </w:r>
    </w:p>
    <w:p w:rsidR="00481FD4" w:rsidRDefault="00405508">
      <w:pPr>
        <w:jc w:val="both"/>
      </w:pPr>
      <w:r>
        <w:t>*Depending on the outcome of a review of fuel oil availability, to be completed 2018, the 2020 date could be deferred to 2025.</w:t>
      </w:r>
    </w:p>
    <w:p w:rsidR="00481FD4" w:rsidRDefault="00405508">
      <w:pPr>
        <w:jc w:val="both"/>
      </w:pPr>
      <w:r>
        <w:lastRenderedPageBreak/>
        <w:t>Beside the MARPOL regulations there are some regional regulations</w:t>
      </w:r>
      <w:r>
        <w:rPr>
          <w:rStyle w:val="Voetnootmarkering"/>
        </w:rPr>
        <w:footnoteReference w:id="1"/>
      </w:r>
      <w:r>
        <w:t>:</w:t>
      </w:r>
    </w:p>
    <w:p w:rsidR="00481FD4" w:rsidRDefault="00405508">
      <w:pPr>
        <w:pStyle w:val="Lijstalinea"/>
        <w:numPr>
          <w:ilvl w:val="0"/>
          <w:numId w:val="8"/>
        </w:numPr>
        <w:jc w:val="both"/>
      </w:pPr>
      <w:r>
        <w:t xml:space="preserve">EU </w:t>
      </w:r>
      <w:proofErr w:type="spellStart"/>
      <w:r>
        <w:t>Sulphur</w:t>
      </w:r>
      <w:proofErr w:type="spellEnd"/>
      <w:r>
        <w:t xml:space="preserve"> directive 2012/33/EU (1 January 2015)</w:t>
      </w:r>
    </w:p>
    <w:p w:rsidR="00481FD4" w:rsidRDefault="00405508">
      <w:pPr>
        <w:pStyle w:val="Lijstalinea"/>
        <w:numPr>
          <w:ilvl w:val="0"/>
          <w:numId w:val="8"/>
        </w:numPr>
        <w:jc w:val="both"/>
      </w:pPr>
      <w:r>
        <w:t>Hong Kong fuel switch scheme (1 January 2015)</w:t>
      </w:r>
    </w:p>
    <w:p w:rsidR="00481FD4" w:rsidRDefault="00405508">
      <w:pPr>
        <w:pStyle w:val="Lijstalinea"/>
        <w:numPr>
          <w:ilvl w:val="0"/>
          <w:numId w:val="8"/>
        </w:numPr>
        <w:jc w:val="both"/>
      </w:pPr>
      <w:r>
        <w:t>Turkish Regulations (1 January 2012)</w:t>
      </w:r>
    </w:p>
    <w:p w:rsidR="00481FD4" w:rsidRDefault="00405508">
      <w:pPr>
        <w:pStyle w:val="Kop2"/>
      </w:pPr>
      <w:bookmarkStart w:id="4" w:name="_Toc455838046"/>
      <w:r>
        <w:t>2.3 Emission Control Areas</w:t>
      </w:r>
      <w:bookmarkEnd w:id="4"/>
    </w:p>
    <w:p w:rsidR="00481FD4" w:rsidRDefault="00397171">
      <w:pPr>
        <w:jc w:val="both"/>
      </w:pPr>
      <w:r>
        <w:t>“</w:t>
      </w:r>
      <w:r w:rsidR="00405508">
        <w:t xml:space="preserve">Two sets of emission and fuel quality requirements are defined by Annex VI: Global requirements and more stringent requirements applicable to ships in Emission Control Areas (ECA). An Emission Control Area can be designated for </w:t>
      </w:r>
      <w:proofErr w:type="spellStart"/>
      <w:r w:rsidR="00405508">
        <w:t>SOx</w:t>
      </w:r>
      <w:proofErr w:type="spellEnd"/>
      <w:r w:rsidR="00405508">
        <w:t xml:space="preserve"> and PM, or </w:t>
      </w:r>
      <w:proofErr w:type="spellStart"/>
      <w:r w:rsidR="00405508">
        <w:t>NOx</w:t>
      </w:r>
      <w:proofErr w:type="spellEnd"/>
      <w:r w:rsidR="00405508">
        <w:t>, or all three types of emissions from ships, subject</w:t>
      </w:r>
      <w:r w:rsidR="00504B89">
        <w:t>ed</w:t>
      </w:r>
      <w:r w:rsidR="00405508">
        <w:t xml:space="preserve"> to a proposal from a Party to Annex VI. The</w:t>
      </w:r>
      <w:r w:rsidR="00504B89">
        <w:t>se</w:t>
      </w:r>
      <w:r w:rsidR="00405508">
        <w:t xml:space="preserve"> zones are shown in Figure 2.</w:t>
      </w:r>
      <w:r>
        <w:t>”</w:t>
      </w:r>
      <w:sdt>
        <w:sdtPr>
          <w:id w:val="729187"/>
          <w:citation/>
        </w:sdtPr>
        <w:sdtContent>
          <w:r w:rsidR="003352B0">
            <w:fldChar w:fldCharType="begin"/>
          </w:r>
          <w:r w:rsidR="004D4B90">
            <w:instrText xml:space="preserve"> CITATION Ale11 \l 2067  </w:instrText>
          </w:r>
          <w:r w:rsidR="003352B0">
            <w:fldChar w:fldCharType="separate"/>
          </w:r>
          <w:r w:rsidR="00405508">
            <w:rPr>
              <w:noProof/>
            </w:rPr>
            <w:t xml:space="preserve"> (Hombravella, Kilicaslan, Péralès, &amp; Rüss, 2011)</w:t>
          </w:r>
          <w:r w:rsidR="003352B0">
            <w:rPr>
              <w:noProof/>
            </w:rPr>
            <w:fldChar w:fldCharType="end"/>
          </w:r>
        </w:sdtContent>
      </w:sdt>
    </w:p>
    <w:p w:rsidR="00481FD4" w:rsidRDefault="00405508">
      <w:pPr>
        <w:jc w:val="both"/>
      </w:pPr>
      <w:r>
        <w:t xml:space="preserve">There are four existing Emission Control Areas: </w:t>
      </w:r>
    </w:p>
    <w:p w:rsidR="00481FD4" w:rsidRDefault="00405508">
      <w:pPr>
        <w:pStyle w:val="Lijstalinea"/>
        <w:numPr>
          <w:ilvl w:val="0"/>
          <w:numId w:val="2"/>
        </w:numPr>
        <w:jc w:val="both"/>
      </w:pPr>
      <w:r>
        <w:t>Baltic Sea ECA;</w:t>
      </w:r>
    </w:p>
    <w:p w:rsidR="00481FD4" w:rsidRDefault="00405508">
      <w:pPr>
        <w:pStyle w:val="Lijstalinea"/>
        <w:numPr>
          <w:ilvl w:val="0"/>
          <w:numId w:val="2"/>
        </w:numPr>
        <w:jc w:val="both"/>
      </w:pPr>
      <w:r>
        <w:t>North Sea ECA;</w:t>
      </w:r>
    </w:p>
    <w:p w:rsidR="00481FD4" w:rsidRDefault="00405508">
      <w:pPr>
        <w:pStyle w:val="Lijstalinea"/>
        <w:numPr>
          <w:ilvl w:val="0"/>
          <w:numId w:val="2"/>
        </w:numPr>
        <w:jc w:val="both"/>
      </w:pPr>
      <w:r>
        <w:t>North American ECA;</w:t>
      </w:r>
    </w:p>
    <w:p w:rsidR="00481FD4" w:rsidRDefault="00405508">
      <w:pPr>
        <w:pStyle w:val="Lijstalinea"/>
        <w:numPr>
          <w:ilvl w:val="0"/>
          <w:numId w:val="2"/>
        </w:numPr>
        <w:jc w:val="both"/>
      </w:pPr>
      <w:r>
        <w:t>United States Caribbean Sea ECA around Puerto Rico and the United States Virgin Islands.</w:t>
      </w:r>
    </w:p>
    <w:p w:rsidR="00481FD4" w:rsidRDefault="00397171">
      <w:pPr>
        <w:jc w:val="both"/>
      </w:pPr>
      <w:r>
        <w:t>“</w:t>
      </w:r>
      <w:r w:rsidR="00405508">
        <w:t xml:space="preserve">While there is a lot of speculation concerning possible future ECAs, at this time, Norway, Japan, Hong Kong and the Mediterranean have been indicated for potential designated ECAs in the future. </w:t>
      </w:r>
      <w:r w:rsidR="00405508">
        <w:rPr>
          <w:lang w:val="en-GB"/>
        </w:rPr>
        <w:t>There have also been discussed of further expansion of ECAs, into the entire Atlantic seaboard of Europe, coastal Korea, the Sea of Japan, the Australian coast, the shipping lanes of Singapore, Malaysia and Indonesia, as well as coastal China</w:t>
      </w:r>
      <w:r>
        <w:rPr>
          <w:lang w:val="en-GB"/>
        </w:rPr>
        <w:t>”</w:t>
      </w:r>
      <w:r w:rsidR="00405508">
        <w:rPr>
          <w:lang w:val="en-GB"/>
        </w:rPr>
        <w:t xml:space="preserve"> </w:t>
      </w:r>
      <w:sdt>
        <w:sdtPr>
          <w:rPr>
            <w:lang w:val="en-GB"/>
          </w:rPr>
          <w:id w:val="2619900"/>
          <w:citation/>
        </w:sdtPr>
        <w:sdtContent>
          <w:r w:rsidR="003352B0">
            <w:rPr>
              <w:lang w:val="en-GB"/>
            </w:rPr>
            <w:fldChar w:fldCharType="begin"/>
          </w:r>
          <w:r w:rsidR="00405508">
            <w:rPr>
              <w:lang w:val="en-GB"/>
            </w:rPr>
            <w:instrText xml:space="preserve"> CITATION Cat15 \l 2067 </w:instrText>
          </w:r>
          <w:r w:rsidR="003352B0">
            <w:rPr>
              <w:lang w:val="en-GB"/>
            </w:rPr>
            <w:fldChar w:fldCharType="separate"/>
          </w:r>
          <w:r w:rsidR="00405508">
            <w:rPr>
              <w:noProof/>
              <w:lang w:val="en-GB"/>
            </w:rPr>
            <w:t>(Austin, 2015)</w:t>
          </w:r>
          <w:r w:rsidR="003352B0">
            <w:rPr>
              <w:lang w:val="en-GB"/>
            </w:rPr>
            <w:fldChar w:fldCharType="end"/>
          </w:r>
        </w:sdtContent>
      </w:sdt>
      <w:r w:rsidR="00405508">
        <w:rPr>
          <w:lang w:val="en-GB"/>
        </w:rPr>
        <w:t>.</w:t>
      </w:r>
    </w:p>
    <w:p w:rsidR="00481FD4" w:rsidRDefault="00405508">
      <w:pPr>
        <w:keepNext/>
        <w:jc w:val="center"/>
      </w:pPr>
      <w:r>
        <w:rPr>
          <w:noProof/>
          <w:lang w:val="nl-BE" w:eastAsia="nl-BE"/>
        </w:rPr>
        <w:drawing>
          <wp:inline distT="0" distB="0" distL="0" distR="0">
            <wp:extent cx="5119370" cy="2619015"/>
            <wp:effectExtent l="19050" t="0" r="5080" b="0"/>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122899" cy="2620820"/>
                    </a:xfrm>
                    <a:prstGeom prst="rect">
                      <a:avLst/>
                    </a:prstGeom>
                    <a:noFill/>
                    <a:ln w="9525">
                      <a:noFill/>
                      <a:miter lim="800000"/>
                      <a:headEnd/>
                      <a:tailEnd/>
                    </a:ln>
                  </pic:spPr>
                </pic:pic>
              </a:graphicData>
            </a:graphic>
          </wp:inline>
        </w:drawing>
      </w:r>
    </w:p>
    <w:p w:rsidR="00481FD4" w:rsidRDefault="00405508">
      <w:pPr>
        <w:pStyle w:val="Bijschrift"/>
        <w:jc w:val="center"/>
      </w:pPr>
      <w:r>
        <w:t xml:space="preserve">Figure </w:t>
      </w:r>
      <w:r w:rsidR="003352B0">
        <w:fldChar w:fldCharType="begin"/>
      </w:r>
      <w:r w:rsidR="004D4B90">
        <w:instrText xml:space="preserve"> SEQ Figuur \* ARABIC </w:instrText>
      </w:r>
      <w:r w:rsidR="003352B0">
        <w:fldChar w:fldCharType="separate"/>
      </w:r>
      <w:r w:rsidR="008B337B">
        <w:rPr>
          <w:noProof/>
        </w:rPr>
        <w:t>2</w:t>
      </w:r>
      <w:r w:rsidR="003352B0">
        <w:rPr>
          <w:noProof/>
        </w:rPr>
        <w:fldChar w:fldCharType="end"/>
      </w:r>
      <w:r>
        <w:t xml:space="preserve">: ECA-zones </w:t>
      </w:r>
      <w:sdt>
        <w:sdtPr>
          <w:id w:val="528958378"/>
          <w:citation/>
        </w:sdtPr>
        <w:sdtContent>
          <w:r w:rsidR="003352B0">
            <w:fldChar w:fldCharType="begin"/>
          </w:r>
          <w:r>
            <w:rPr>
              <w:lang w:val="en-GB"/>
            </w:rPr>
            <w:instrText xml:space="preserve"> CITATION Alf15 \l 2067 </w:instrText>
          </w:r>
          <w:r w:rsidR="003352B0">
            <w:fldChar w:fldCharType="separate"/>
          </w:r>
          <w:r>
            <w:rPr>
              <w:noProof/>
              <w:lang w:val="en-GB"/>
            </w:rPr>
            <w:t>(Laval, 2015)</w:t>
          </w:r>
          <w:r w:rsidR="003352B0">
            <w:fldChar w:fldCharType="end"/>
          </w:r>
        </w:sdtContent>
      </w:sdt>
    </w:p>
    <w:p w:rsidR="00481FD4" w:rsidRDefault="00405508">
      <w:pPr>
        <w:pStyle w:val="Kop2"/>
      </w:pPr>
      <w:bookmarkStart w:id="5" w:name="_Toc455838047"/>
      <w:r>
        <w:lastRenderedPageBreak/>
        <w:t>2.4 Compliance Options for CFL</w:t>
      </w:r>
      <w:bookmarkEnd w:id="5"/>
    </w:p>
    <w:p w:rsidR="00481FD4" w:rsidRDefault="00405508">
      <w:pPr>
        <w:jc w:val="both"/>
      </w:pPr>
      <w:r>
        <w:t xml:space="preserve">For CFL there are three key methods to ensure compliance with the </w:t>
      </w:r>
      <w:proofErr w:type="spellStart"/>
      <w:r>
        <w:t>SOx</w:t>
      </w:r>
      <w:proofErr w:type="spellEnd"/>
      <w:r>
        <w:t xml:space="preserve"> and PM emission requirements under Regulation 14 of MARPOL Annex VI:</w:t>
      </w:r>
    </w:p>
    <w:p w:rsidR="00481FD4" w:rsidRDefault="00405508">
      <w:pPr>
        <w:pStyle w:val="Kop3"/>
      </w:pPr>
      <w:bookmarkStart w:id="6" w:name="_Toc455838048"/>
      <w:r>
        <w:t>2.4.1 Using LNG</w:t>
      </w:r>
      <w:bookmarkEnd w:id="6"/>
    </w:p>
    <w:p w:rsidR="00481FD4" w:rsidRDefault="00405508">
      <w:pPr>
        <w:jc w:val="both"/>
      </w:pPr>
      <w:r>
        <w:t>Because CFLs specialty is transporting project cargo, which requires most of the time a lot of loading space, there is no space available to offer for the LNG storage tanks. Also the high adjustment costs for the conversion of the m</w:t>
      </w:r>
      <w:r w:rsidR="00504B89">
        <w:t>ain engine and LNG installation</w:t>
      </w:r>
      <w:r>
        <w:t xml:space="preserve"> makes that LNG is no realistic option for CFL. Although, the </w:t>
      </w:r>
      <w:proofErr w:type="spellStart"/>
      <w:r>
        <w:t>sulphur</w:t>
      </w:r>
      <w:proofErr w:type="spellEnd"/>
      <w:r>
        <w:t xml:space="preserve"> emission of pure LNG is almost zero and the </w:t>
      </w:r>
      <w:proofErr w:type="spellStart"/>
      <w:r>
        <w:t>NOx</w:t>
      </w:r>
      <w:proofErr w:type="spellEnd"/>
      <w:r>
        <w:t xml:space="preserve"> emissions can be lowered with 85%.  </w:t>
      </w:r>
    </w:p>
    <w:p w:rsidR="00481FD4" w:rsidRDefault="00405508">
      <w:pPr>
        <w:pStyle w:val="Kop3"/>
      </w:pPr>
      <w:bookmarkStart w:id="7" w:name="_Toc455838049"/>
      <w:r>
        <w:t>2.4.2 Using MGO</w:t>
      </w:r>
      <w:bookmarkEnd w:id="7"/>
    </w:p>
    <w:p w:rsidR="00481FD4" w:rsidRDefault="00405508">
      <w:pPr>
        <w:jc w:val="both"/>
      </w:pPr>
      <w:r>
        <w:t xml:space="preserve">Although an operator is free to use MGO when operating outside an ECA, the price differential between heavy fuel oil (HFO) and MGO normally dictates that fuel switching between the grades occur in preparation for entering an ECA and also when exiting an ECA. </w:t>
      </w:r>
    </w:p>
    <w:p w:rsidR="00481FD4" w:rsidRDefault="00405508">
      <w:pPr>
        <w:jc w:val="both"/>
      </w:pPr>
      <w:r>
        <w:t xml:space="preserve">The use of MGO has some advantages; </w:t>
      </w:r>
    </w:p>
    <w:p w:rsidR="00481FD4" w:rsidRDefault="00405508">
      <w:pPr>
        <w:pStyle w:val="Lijstalinea"/>
        <w:numPr>
          <w:ilvl w:val="0"/>
          <w:numId w:val="16"/>
        </w:numPr>
        <w:jc w:val="both"/>
      </w:pPr>
      <w:r>
        <w:t>No big space taking installations like a scrubber are needed.</w:t>
      </w:r>
    </w:p>
    <w:p w:rsidR="00481FD4" w:rsidRDefault="00405508">
      <w:pPr>
        <w:pStyle w:val="Lijstalinea"/>
        <w:numPr>
          <w:ilvl w:val="0"/>
          <w:numId w:val="16"/>
        </w:numPr>
        <w:jc w:val="both"/>
      </w:pPr>
      <w:r>
        <w:t>The main engine is already able to run on (LS) MGO, so no complicated changes to the ships propulsion system need to be made.</w:t>
      </w:r>
    </w:p>
    <w:p w:rsidR="00481FD4" w:rsidRDefault="00405508">
      <w:pPr>
        <w:jc w:val="both"/>
      </w:pPr>
      <w:r>
        <w:t>When looking at this compliance option, it seems to be the easiest option. But the usage of MGO has also some disadvantages:</w:t>
      </w:r>
    </w:p>
    <w:p w:rsidR="00481FD4" w:rsidRDefault="00405508">
      <w:pPr>
        <w:pStyle w:val="Lijstalinea"/>
        <w:numPr>
          <w:ilvl w:val="0"/>
          <w:numId w:val="17"/>
        </w:numPr>
        <w:jc w:val="both"/>
      </w:pPr>
      <w:r>
        <w:t>Compared to HFO, MGO has a lower viscosity. Because of this difference, the MGO will start leaking between the seal in the plunger and barrel of the fuel pumps.</w:t>
      </w:r>
    </w:p>
    <w:p w:rsidR="00481FD4" w:rsidRDefault="00397171">
      <w:pPr>
        <w:pStyle w:val="Lijstalinea"/>
        <w:numPr>
          <w:ilvl w:val="0"/>
          <w:numId w:val="17"/>
        </w:numPr>
        <w:jc w:val="both"/>
      </w:pPr>
      <w:r>
        <w:t>“</w:t>
      </w:r>
      <w:r w:rsidR="00405508">
        <w:t>Furthermore, this MGO will leak on the roll guide of the fuel pump. Here from it will leak onto the camshaft of the engine and will finally mix with the lubricating oil, which will lose lubricating properties. This will cause more wear to the moving parts inside the engine. To avoid this problem, all fuel related seals will need to be replaced and this can only be done when the ship is not sailing</w:t>
      </w:r>
      <w:r>
        <w:t>”</w:t>
      </w:r>
      <w:r w:rsidR="00405508">
        <w:t xml:space="preserve"> </w:t>
      </w:r>
      <w:sdt>
        <w:sdtPr>
          <w:id w:val="24561735"/>
          <w:citation/>
        </w:sdtPr>
        <w:sdtContent>
          <w:r w:rsidR="003352B0">
            <w:fldChar w:fldCharType="begin"/>
          </w:r>
          <w:r w:rsidR="004D4B90">
            <w:instrText xml:space="preserve"> CITATION Boy14 \l 2067 </w:instrText>
          </w:r>
          <w:r w:rsidR="003352B0">
            <w:fldChar w:fldCharType="separate"/>
          </w:r>
          <w:r w:rsidR="00405508">
            <w:rPr>
              <w:noProof/>
            </w:rPr>
            <w:t>(Brouwer, 2014)</w:t>
          </w:r>
          <w:r w:rsidR="003352B0">
            <w:rPr>
              <w:noProof/>
            </w:rPr>
            <w:fldChar w:fldCharType="end"/>
          </w:r>
        </w:sdtContent>
      </w:sdt>
      <w:r w:rsidR="00405508">
        <w:t>.</w:t>
      </w:r>
    </w:p>
    <w:p w:rsidR="00481FD4" w:rsidRDefault="00405508">
      <w:pPr>
        <w:jc w:val="both"/>
      </w:pPr>
      <w:r>
        <w:t>Currently the MGO fuel capacity is only 9% of the total bunker</w:t>
      </w:r>
      <w:r w:rsidR="00C55CCC">
        <w:t xml:space="preserve"> capacity onboard of the vessel</w:t>
      </w:r>
      <w:r>
        <w:t xml:space="preserve"> type Sole 10.000. To provide more MGO bunker space, a modification of (an) HFO tank(s) will be required. Therefore tanks will need to get cleaned and some adjustments to the current piping work will have to take place. These adjustments will need to be approved by the classification society. This job has to be done when the ship is alongside.</w:t>
      </w:r>
    </w:p>
    <w:p w:rsidR="00481FD4" w:rsidRDefault="00481FD4">
      <w:pPr>
        <w:jc w:val="both"/>
      </w:pPr>
    </w:p>
    <w:p w:rsidR="00481FD4" w:rsidRDefault="00481FD4">
      <w:pPr>
        <w:jc w:val="both"/>
      </w:pPr>
    </w:p>
    <w:p w:rsidR="00481FD4" w:rsidRDefault="00481FD4">
      <w:pPr>
        <w:jc w:val="both"/>
      </w:pPr>
    </w:p>
    <w:p w:rsidR="00481FD4" w:rsidRDefault="00481FD4">
      <w:pPr>
        <w:jc w:val="both"/>
      </w:pPr>
    </w:p>
    <w:p w:rsidR="00481FD4" w:rsidRDefault="000929C5">
      <w:pPr>
        <w:jc w:val="both"/>
      </w:pPr>
      <w:r>
        <w:lastRenderedPageBreak/>
        <w:t>Already 3</w:t>
      </w:r>
      <w:r w:rsidR="00405508">
        <w:t xml:space="preserve"> </w:t>
      </w:r>
      <w:r w:rsidR="000B05D2">
        <w:t xml:space="preserve">of the 6 Sole types </w:t>
      </w:r>
      <w:r w:rsidR="00405508">
        <w:t xml:space="preserve"> (Industrial Merchant</w:t>
      </w:r>
      <w:r>
        <w:t>, Marvel Scan</w:t>
      </w:r>
      <w:r w:rsidR="00405508">
        <w:t xml:space="preserve"> and Momentum Scan) were modified </w:t>
      </w:r>
      <w:r w:rsidR="000B05D2">
        <w:t xml:space="preserve">for a long running time on MGO </w:t>
      </w:r>
      <w:r w:rsidR="00405508">
        <w:t xml:space="preserve">during a docking. </w:t>
      </w:r>
      <w:r w:rsidR="000B05D2">
        <w:t>This modification means that one of the HFO bunker tanks</w:t>
      </w:r>
      <w:r w:rsidR="008522B8">
        <w:t>, including the bunker and transfer system,</w:t>
      </w:r>
      <w:r w:rsidR="000B05D2">
        <w:t xml:space="preserve"> is now dedicated</w:t>
      </w:r>
      <w:r w:rsidR="008522B8">
        <w:t xml:space="preserve"> and converted</w:t>
      </w:r>
      <w:r w:rsidR="000B05D2">
        <w:t xml:space="preserve"> for MGO. </w:t>
      </w:r>
      <w:r w:rsidR="00405508">
        <w:t>For each vessel a total cost of 30.000$ was made. In Table 1 the chan</w:t>
      </w:r>
      <w:r>
        <w:t>ges in bunker capacity and range</w:t>
      </w:r>
      <w:r w:rsidR="00405508">
        <w:t xml:space="preserve"> due to this modification are shown.</w:t>
      </w:r>
    </w:p>
    <w:tbl>
      <w:tblPr>
        <w:tblStyle w:val="Lichtraster-accent3"/>
        <w:tblW w:w="0" w:type="auto"/>
        <w:jc w:val="center"/>
        <w:tblLook w:val="04A0"/>
      </w:tblPr>
      <w:tblGrid>
        <w:gridCol w:w="2518"/>
        <w:gridCol w:w="1559"/>
        <w:gridCol w:w="1701"/>
        <w:gridCol w:w="1701"/>
        <w:gridCol w:w="1733"/>
      </w:tblGrid>
      <w:tr w:rsidR="00481FD4" w:rsidTr="00481FD4">
        <w:trPr>
          <w:cnfStyle w:val="100000000000"/>
          <w:jc w:val="center"/>
        </w:trPr>
        <w:tc>
          <w:tcPr>
            <w:cnfStyle w:val="001000000000"/>
            <w:tcW w:w="9212" w:type="dxa"/>
            <w:gridSpan w:val="5"/>
          </w:tcPr>
          <w:p w:rsidR="00481FD4" w:rsidRDefault="00405508">
            <w:r>
              <w:t>Modification of HFO 2SB to MGO</w:t>
            </w:r>
          </w:p>
        </w:tc>
      </w:tr>
      <w:tr w:rsidR="00481FD4" w:rsidTr="00481FD4">
        <w:trPr>
          <w:cnfStyle w:val="000000100000"/>
          <w:jc w:val="center"/>
        </w:trPr>
        <w:tc>
          <w:tcPr>
            <w:cnfStyle w:val="001000000000"/>
            <w:tcW w:w="2518" w:type="dxa"/>
            <w:vMerge w:val="restart"/>
          </w:tcPr>
          <w:p w:rsidR="00481FD4" w:rsidRDefault="00481FD4"/>
        </w:tc>
        <w:tc>
          <w:tcPr>
            <w:tcW w:w="3260" w:type="dxa"/>
            <w:gridSpan w:val="2"/>
          </w:tcPr>
          <w:p w:rsidR="00481FD4" w:rsidRDefault="00405508">
            <w:pPr>
              <w:jc w:val="center"/>
              <w:cnfStyle w:val="000000100000"/>
            </w:pPr>
            <w:r>
              <w:t>Before modification</w:t>
            </w:r>
          </w:p>
        </w:tc>
        <w:tc>
          <w:tcPr>
            <w:tcW w:w="3434" w:type="dxa"/>
            <w:gridSpan w:val="2"/>
          </w:tcPr>
          <w:p w:rsidR="00481FD4" w:rsidRDefault="00405508">
            <w:pPr>
              <w:jc w:val="center"/>
              <w:cnfStyle w:val="000000100000"/>
            </w:pPr>
            <w:r>
              <w:t>After modification</w:t>
            </w:r>
          </w:p>
        </w:tc>
      </w:tr>
      <w:tr w:rsidR="00481FD4" w:rsidTr="00481FD4">
        <w:trPr>
          <w:cnfStyle w:val="000000010000"/>
          <w:jc w:val="center"/>
        </w:trPr>
        <w:tc>
          <w:tcPr>
            <w:cnfStyle w:val="001000000000"/>
            <w:tcW w:w="2518" w:type="dxa"/>
            <w:vMerge/>
          </w:tcPr>
          <w:p w:rsidR="00481FD4" w:rsidRDefault="00481FD4"/>
        </w:tc>
        <w:tc>
          <w:tcPr>
            <w:tcW w:w="1559" w:type="dxa"/>
          </w:tcPr>
          <w:p w:rsidR="00481FD4" w:rsidRDefault="00405508">
            <w:pPr>
              <w:jc w:val="center"/>
              <w:cnfStyle w:val="000000010000"/>
              <w:rPr>
                <w:b/>
              </w:rPr>
            </w:pPr>
            <w:r>
              <w:rPr>
                <w:b/>
              </w:rPr>
              <w:t>HFO</w:t>
            </w:r>
          </w:p>
        </w:tc>
        <w:tc>
          <w:tcPr>
            <w:tcW w:w="1701" w:type="dxa"/>
          </w:tcPr>
          <w:p w:rsidR="00481FD4" w:rsidRDefault="00405508">
            <w:pPr>
              <w:jc w:val="center"/>
              <w:cnfStyle w:val="000000010000"/>
              <w:rPr>
                <w:b/>
              </w:rPr>
            </w:pPr>
            <w:r>
              <w:rPr>
                <w:b/>
              </w:rPr>
              <w:t>MGO</w:t>
            </w:r>
          </w:p>
        </w:tc>
        <w:tc>
          <w:tcPr>
            <w:tcW w:w="1701" w:type="dxa"/>
          </w:tcPr>
          <w:p w:rsidR="00481FD4" w:rsidRDefault="00405508">
            <w:pPr>
              <w:jc w:val="center"/>
              <w:cnfStyle w:val="000000010000"/>
              <w:rPr>
                <w:b/>
              </w:rPr>
            </w:pPr>
            <w:r>
              <w:rPr>
                <w:b/>
              </w:rPr>
              <w:t>HFO</w:t>
            </w:r>
          </w:p>
        </w:tc>
        <w:tc>
          <w:tcPr>
            <w:tcW w:w="1733" w:type="dxa"/>
          </w:tcPr>
          <w:p w:rsidR="00481FD4" w:rsidRDefault="00405508">
            <w:pPr>
              <w:jc w:val="center"/>
              <w:cnfStyle w:val="000000010000"/>
              <w:rPr>
                <w:b/>
              </w:rPr>
            </w:pPr>
            <w:r>
              <w:rPr>
                <w:b/>
              </w:rPr>
              <w:t>MGO</w:t>
            </w:r>
          </w:p>
        </w:tc>
      </w:tr>
      <w:tr w:rsidR="00481FD4" w:rsidTr="00481FD4">
        <w:trPr>
          <w:cnfStyle w:val="000000100000"/>
          <w:jc w:val="center"/>
        </w:trPr>
        <w:tc>
          <w:tcPr>
            <w:cnfStyle w:val="001000000000"/>
            <w:tcW w:w="2518" w:type="dxa"/>
          </w:tcPr>
          <w:p w:rsidR="00481FD4" w:rsidRDefault="00405508">
            <w:r>
              <w:t>Bunker capacity (MT)</w:t>
            </w:r>
          </w:p>
        </w:tc>
        <w:tc>
          <w:tcPr>
            <w:tcW w:w="1559" w:type="dxa"/>
          </w:tcPr>
          <w:p w:rsidR="00481FD4" w:rsidRDefault="00405508">
            <w:pPr>
              <w:jc w:val="center"/>
              <w:cnfStyle w:val="000000100000"/>
            </w:pPr>
            <w:r>
              <w:t>568.20</w:t>
            </w:r>
          </w:p>
        </w:tc>
        <w:tc>
          <w:tcPr>
            <w:tcW w:w="1701" w:type="dxa"/>
          </w:tcPr>
          <w:p w:rsidR="00481FD4" w:rsidRDefault="00405508">
            <w:pPr>
              <w:jc w:val="center"/>
              <w:cnfStyle w:val="000000100000"/>
            </w:pPr>
            <w:r>
              <w:t>67.80</w:t>
            </w:r>
          </w:p>
        </w:tc>
        <w:tc>
          <w:tcPr>
            <w:tcW w:w="1701" w:type="dxa"/>
          </w:tcPr>
          <w:p w:rsidR="00481FD4" w:rsidRDefault="00405508">
            <w:pPr>
              <w:jc w:val="center"/>
              <w:cnfStyle w:val="000000100000"/>
            </w:pPr>
            <w:r>
              <w:t>485.60</w:t>
            </w:r>
          </w:p>
        </w:tc>
        <w:tc>
          <w:tcPr>
            <w:tcW w:w="1733" w:type="dxa"/>
          </w:tcPr>
          <w:p w:rsidR="00481FD4" w:rsidRDefault="00405508">
            <w:pPr>
              <w:jc w:val="center"/>
              <w:cnfStyle w:val="000000100000"/>
            </w:pPr>
            <w:r>
              <w:t>150.40</w:t>
            </w:r>
          </w:p>
        </w:tc>
      </w:tr>
      <w:tr w:rsidR="00481FD4" w:rsidTr="00481FD4">
        <w:trPr>
          <w:cnfStyle w:val="000000010000"/>
          <w:jc w:val="center"/>
        </w:trPr>
        <w:tc>
          <w:tcPr>
            <w:cnfStyle w:val="001000000000"/>
            <w:tcW w:w="2518" w:type="dxa"/>
          </w:tcPr>
          <w:p w:rsidR="00481FD4" w:rsidRDefault="00405508">
            <w:r>
              <w:t>Bunker capacity (T)</w:t>
            </w:r>
          </w:p>
        </w:tc>
        <w:tc>
          <w:tcPr>
            <w:tcW w:w="1559" w:type="dxa"/>
          </w:tcPr>
          <w:p w:rsidR="00481FD4" w:rsidRDefault="00405508">
            <w:pPr>
              <w:jc w:val="center"/>
              <w:cnfStyle w:val="000000010000"/>
            </w:pPr>
            <w:r>
              <w:t>562.50</w:t>
            </w:r>
          </w:p>
        </w:tc>
        <w:tc>
          <w:tcPr>
            <w:tcW w:w="1701" w:type="dxa"/>
          </w:tcPr>
          <w:p w:rsidR="00481FD4" w:rsidRDefault="00405508">
            <w:pPr>
              <w:jc w:val="center"/>
              <w:cnfStyle w:val="000000010000"/>
            </w:pPr>
            <w:r>
              <w:t>57.63</w:t>
            </w:r>
          </w:p>
        </w:tc>
        <w:tc>
          <w:tcPr>
            <w:tcW w:w="1701" w:type="dxa"/>
          </w:tcPr>
          <w:p w:rsidR="00481FD4" w:rsidRDefault="00405508">
            <w:pPr>
              <w:jc w:val="center"/>
              <w:cnfStyle w:val="000000010000"/>
            </w:pPr>
            <w:r>
              <w:t>480.74</w:t>
            </w:r>
          </w:p>
        </w:tc>
        <w:tc>
          <w:tcPr>
            <w:tcW w:w="1733" w:type="dxa"/>
          </w:tcPr>
          <w:p w:rsidR="00481FD4" w:rsidRDefault="00405508">
            <w:pPr>
              <w:jc w:val="center"/>
              <w:cnfStyle w:val="000000010000"/>
            </w:pPr>
            <w:r>
              <w:t>127.84</w:t>
            </w:r>
          </w:p>
        </w:tc>
      </w:tr>
      <w:tr w:rsidR="00481FD4" w:rsidTr="00481FD4">
        <w:trPr>
          <w:cnfStyle w:val="000000100000"/>
          <w:jc w:val="center"/>
        </w:trPr>
        <w:tc>
          <w:tcPr>
            <w:cnfStyle w:val="001000000000"/>
            <w:tcW w:w="2518" w:type="dxa"/>
          </w:tcPr>
          <w:p w:rsidR="00481FD4" w:rsidRDefault="00405508">
            <w:r>
              <w:t>Bunker capacity (%)</w:t>
            </w:r>
          </w:p>
        </w:tc>
        <w:tc>
          <w:tcPr>
            <w:tcW w:w="1559" w:type="dxa"/>
          </w:tcPr>
          <w:p w:rsidR="00481FD4" w:rsidRDefault="00405508">
            <w:pPr>
              <w:jc w:val="center"/>
              <w:cnfStyle w:val="000000100000"/>
            </w:pPr>
            <w:r>
              <w:t>91.00%</w:t>
            </w:r>
          </w:p>
        </w:tc>
        <w:tc>
          <w:tcPr>
            <w:tcW w:w="1701" w:type="dxa"/>
          </w:tcPr>
          <w:p w:rsidR="00481FD4" w:rsidRDefault="00405508">
            <w:pPr>
              <w:jc w:val="center"/>
              <w:cnfStyle w:val="000000100000"/>
            </w:pPr>
            <w:r>
              <w:t>9.00%</w:t>
            </w:r>
          </w:p>
        </w:tc>
        <w:tc>
          <w:tcPr>
            <w:tcW w:w="1701" w:type="dxa"/>
          </w:tcPr>
          <w:p w:rsidR="00481FD4" w:rsidRDefault="00405508">
            <w:pPr>
              <w:jc w:val="center"/>
              <w:cnfStyle w:val="000000100000"/>
            </w:pPr>
            <w:r>
              <w:t>76.00%</w:t>
            </w:r>
          </w:p>
        </w:tc>
        <w:tc>
          <w:tcPr>
            <w:tcW w:w="1733" w:type="dxa"/>
          </w:tcPr>
          <w:p w:rsidR="00481FD4" w:rsidRDefault="00405508">
            <w:pPr>
              <w:jc w:val="center"/>
              <w:cnfStyle w:val="000000100000"/>
            </w:pPr>
            <w:r>
              <w:t>24.00%</w:t>
            </w:r>
          </w:p>
        </w:tc>
      </w:tr>
      <w:tr w:rsidR="00481FD4" w:rsidTr="00481FD4">
        <w:trPr>
          <w:cnfStyle w:val="000000010000"/>
          <w:jc w:val="center"/>
        </w:trPr>
        <w:tc>
          <w:tcPr>
            <w:cnfStyle w:val="001000000000"/>
            <w:tcW w:w="2518" w:type="dxa"/>
          </w:tcPr>
          <w:p w:rsidR="00481FD4" w:rsidRDefault="00405508">
            <w:r>
              <w:t>Sailing days</w:t>
            </w:r>
          </w:p>
        </w:tc>
        <w:tc>
          <w:tcPr>
            <w:tcW w:w="1559" w:type="dxa"/>
          </w:tcPr>
          <w:p w:rsidR="00481FD4" w:rsidRDefault="00405508">
            <w:pPr>
              <w:jc w:val="center"/>
              <w:cnfStyle w:val="000000010000"/>
            </w:pPr>
            <w:r>
              <w:t>37.5</w:t>
            </w:r>
          </w:p>
        </w:tc>
        <w:tc>
          <w:tcPr>
            <w:tcW w:w="1701" w:type="dxa"/>
          </w:tcPr>
          <w:p w:rsidR="00481FD4" w:rsidRDefault="00405508">
            <w:pPr>
              <w:jc w:val="center"/>
              <w:cnfStyle w:val="000000010000"/>
            </w:pPr>
            <w:r>
              <w:t>3.83</w:t>
            </w:r>
          </w:p>
        </w:tc>
        <w:tc>
          <w:tcPr>
            <w:tcW w:w="1701" w:type="dxa"/>
          </w:tcPr>
          <w:p w:rsidR="00481FD4" w:rsidRDefault="00405508">
            <w:pPr>
              <w:jc w:val="center"/>
              <w:cnfStyle w:val="000000010000"/>
            </w:pPr>
            <w:r>
              <w:t>32.00</w:t>
            </w:r>
          </w:p>
        </w:tc>
        <w:tc>
          <w:tcPr>
            <w:tcW w:w="1733" w:type="dxa"/>
          </w:tcPr>
          <w:p w:rsidR="00481FD4" w:rsidRDefault="00405508">
            <w:pPr>
              <w:jc w:val="center"/>
              <w:cnfStyle w:val="000000010000"/>
            </w:pPr>
            <w:r>
              <w:t>8.50</w:t>
            </w:r>
          </w:p>
        </w:tc>
      </w:tr>
      <w:tr w:rsidR="00481FD4" w:rsidTr="00481FD4">
        <w:trPr>
          <w:cnfStyle w:val="000000100000"/>
          <w:jc w:val="center"/>
        </w:trPr>
        <w:tc>
          <w:tcPr>
            <w:cnfStyle w:val="001000000000"/>
            <w:tcW w:w="2518" w:type="dxa"/>
          </w:tcPr>
          <w:p w:rsidR="00481FD4" w:rsidRDefault="00405508">
            <w:r>
              <w:t>Range (Miles)</w:t>
            </w:r>
          </w:p>
        </w:tc>
        <w:tc>
          <w:tcPr>
            <w:tcW w:w="1559" w:type="dxa"/>
          </w:tcPr>
          <w:p w:rsidR="00481FD4" w:rsidRDefault="00405508">
            <w:pPr>
              <w:jc w:val="center"/>
              <w:cnfStyle w:val="000000100000"/>
            </w:pPr>
            <w:r>
              <w:t>10800</w:t>
            </w:r>
          </w:p>
        </w:tc>
        <w:tc>
          <w:tcPr>
            <w:tcW w:w="1701" w:type="dxa"/>
          </w:tcPr>
          <w:p w:rsidR="00481FD4" w:rsidRDefault="00405508">
            <w:pPr>
              <w:jc w:val="center"/>
              <w:cnfStyle w:val="000000100000"/>
            </w:pPr>
            <w:r>
              <w:t>1104</w:t>
            </w:r>
          </w:p>
        </w:tc>
        <w:tc>
          <w:tcPr>
            <w:tcW w:w="1701" w:type="dxa"/>
          </w:tcPr>
          <w:p w:rsidR="00481FD4" w:rsidRDefault="00405508">
            <w:pPr>
              <w:jc w:val="center"/>
              <w:cnfStyle w:val="000000100000"/>
            </w:pPr>
            <w:r>
              <w:t>9216</w:t>
            </w:r>
          </w:p>
        </w:tc>
        <w:tc>
          <w:tcPr>
            <w:tcW w:w="1733" w:type="dxa"/>
          </w:tcPr>
          <w:p w:rsidR="00481FD4" w:rsidRDefault="00405508">
            <w:pPr>
              <w:keepNext/>
              <w:jc w:val="center"/>
              <w:cnfStyle w:val="000000100000"/>
            </w:pPr>
            <w:r>
              <w:t>2448</w:t>
            </w:r>
          </w:p>
        </w:tc>
      </w:tr>
    </w:tbl>
    <w:p w:rsidR="00481FD4" w:rsidRDefault="00405508">
      <w:pPr>
        <w:pStyle w:val="Bijschrift"/>
        <w:jc w:val="center"/>
      </w:pPr>
      <w:r>
        <w:t xml:space="preserve">Table </w:t>
      </w:r>
      <w:r w:rsidR="003352B0">
        <w:fldChar w:fldCharType="begin"/>
      </w:r>
      <w:r w:rsidR="004D4B90">
        <w:instrText xml:space="preserve"> SEQ Tabel \* ARABIC </w:instrText>
      </w:r>
      <w:r w:rsidR="003352B0">
        <w:fldChar w:fldCharType="separate"/>
      </w:r>
      <w:r>
        <w:rPr>
          <w:noProof/>
        </w:rPr>
        <w:t>1</w:t>
      </w:r>
      <w:r w:rsidR="003352B0">
        <w:rPr>
          <w:noProof/>
        </w:rPr>
        <w:fldChar w:fldCharType="end"/>
      </w:r>
      <w:r>
        <w:t>: Modification</w:t>
      </w:r>
    </w:p>
    <w:p w:rsidR="00481FD4" w:rsidRDefault="00405508">
      <w:pPr>
        <w:jc w:val="both"/>
      </w:pPr>
      <w:r>
        <w:t xml:space="preserve">Looking into the future is very hard, but that the ECAs will expand is a fact. So the time/percentage CFLs vessels will spend in these areas will increase for sure. Assuming the global </w:t>
      </w:r>
      <w:proofErr w:type="spellStart"/>
      <w:r>
        <w:t>sulphur</w:t>
      </w:r>
      <w:proofErr w:type="spellEnd"/>
      <w:r>
        <w:t xml:space="preserve"> cap enters into force in 2020, the 'base case' scenario (shift to MGO in ECA) is shown in Table 2 below.</w:t>
      </w:r>
    </w:p>
    <w:tbl>
      <w:tblPr>
        <w:tblStyle w:val="Lichtraster-accent3"/>
        <w:tblW w:w="0" w:type="auto"/>
        <w:jc w:val="center"/>
        <w:tblLook w:val="04A0"/>
      </w:tblPr>
      <w:tblGrid>
        <w:gridCol w:w="3085"/>
        <w:gridCol w:w="1418"/>
        <w:gridCol w:w="1559"/>
        <w:gridCol w:w="1559"/>
        <w:gridCol w:w="1591"/>
      </w:tblGrid>
      <w:tr w:rsidR="00481FD4" w:rsidTr="00481FD4">
        <w:trPr>
          <w:cnfStyle w:val="100000000000"/>
          <w:jc w:val="center"/>
        </w:trPr>
        <w:tc>
          <w:tcPr>
            <w:cnfStyle w:val="001000000000"/>
            <w:tcW w:w="9212" w:type="dxa"/>
            <w:gridSpan w:val="5"/>
          </w:tcPr>
          <w:p w:rsidR="00481FD4" w:rsidRDefault="00405508">
            <w:r>
              <w:t>MGO scenario:</w:t>
            </w:r>
          </w:p>
        </w:tc>
      </w:tr>
      <w:tr w:rsidR="00481FD4" w:rsidTr="00481FD4">
        <w:trPr>
          <w:cnfStyle w:val="000000100000"/>
          <w:jc w:val="center"/>
        </w:trPr>
        <w:tc>
          <w:tcPr>
            <w:cnfStyle w:val="001000000000"/>
            <w:tcW w:w="3085" w:type="dxa"/>
          </w:tcPr>
          <w:p w:rsidR="00481FD4" w:rsidRDefault="00481FD4"/>
        </w:tc>
        <w:tc>
          <w:tcPr>
            <w:tcW w:w="2977" w:type="dxa"/>
            <w:gridSpan w:val="2"/>
          </w:tcPr>
          <w:p w:rsidR="00481FD4" w:rsidRDefault="00405508">
            <w:pPr>
              <w:jc w:val="center"/>
              <w:cnfStyle w:val="000000100000"/>
            </w:pPr>
            <w:r>
              <w:t>2015-2019</w:t>
            </w:r>
          </w:p>
        </w:tc>
        <w:tc>
          <w:tcPr>
            <w:tcW w:w="3150" w:type="dxa"/>
            <w:gridSpan w:val="2"/>
          </w:tcPr>
          <w:p w:rsidR="00481FD4" w:rsidRDefault="00405508">
            <w:pPr>
              <w:jc w:val="center"/>
              <w:cnfStyle w:val="000000100000"/>
            </w:pPr>
            <w:r>
              <w:t>2020-2024</w:t>
            </w:r>
          </w:p>
        </w:tc>
      </w:tr>
      <w:tr w:rsidR="00481FD4" w:rsidTr="00481FD4">
        <w:trPr>
          <w:cnfStyle w:val="000000010000"/>
          <w:jc w:val="center"/>
        </w:trPr>
        <w:tc>
          <w:tcPr>
            <w:cnfStyle w:val="001000000000"/>
            <w:tcW w:w="3085" w:type="dxa"/>
          </w:tcPr>
          <w:p w:rsidR="00481FD4" w:rsidRDefault="00481FD4"/>
        </w:tc>
        <w:tc>
          <w:tcPr>
            <w:tcW w:w="1418" w:type="dxa"/>
          </w:tcPr>
          <w:p w:rsidR="00481FD4" w:rsidRDefault="00405508">
            <w:pPr>
              <w:jc w:val="center"/>
              <w:cnfStyle w:val="000000010000"/>
            </w:pPr>
            <w:r>
              <w:t>Non ECA</w:t>
            </w:r>
          </w:p>
        </w:tc>
        <w:tc>
          <w:tcPr>
            <w:tcW w:w="1559" w:type="dxa"/>
          </w:tcPr>
          <w:p w:rsidR="00481FD4" w:rsidRDefault="00405508">
            <w:pPr>
              <w:jc w:val="center"/>
              <w:cnfStyle w:val="000000010000"/>
            </w:pPr>
            <w:r>
              <w:t>ECA</w:t>
            </w:r>
          </w:p>
        </w:tc>
        <w:tc>
          <w:tcPr>
            <w:tcW w:w="1559" w:type="dxa"/>
          </w:tcPr>
          <w:p w:rsidR="00481FD4" w:rsidRDefault="00405508">
            <w:pPr>
              <w:jc w:val="center"/>
              <w:cnfStyle w:val="000000010000"/>
            </w:pPr>
            <w:r>
              <w:t>Non ECA</w:t>
            </w:r>
          </w:p>
        </w:tc>
        <w:tc>
          <w:tcPr>
            <w:tcW w:w="1591" w:type="dxa"/>
          </w:tcPr>
          <w:p w:rsidR="00481FD4" w:rsidRDefault="00405508">
            <w:pPr>
              <w:jc w:val="center"/>
              <w:cnfStyle w:val="000000010000"/>
            </w:pPr>
            <w:r>
              <w:t>ECA</w:t>
            </w:r>
          </w:p>
        </w:tc>
      </w:tr>
      <w:tr w:rsidR="00481FD4" w:rsidTr="00481FD4">
        <w:trPr>
          <w:cnfStyle w:val="000000100000"/>
          <w:jc w:val="center"/>
        </w:trPr>
        <w:tc>
          <w:tcPr>
            <w:cnfStyle w:val="001000000000"/>
            <w:tcW w:w="3085" w:type="dxa"/>
          </w:tcPr>
          <w:p w:rsidR="00481FD4" w:rsidRDefault="00405508">
            <w:r>
              <w:t>Consumption at  sea (ME)</w:t>
            </w:r>
          </w:p>
        </w:tc>
        <w:tc>
          <w:tcPr>
            <w:tcW w:w="1418" w:type="dxa"/>
          </w:tcPr>
          <w:p w:rsidR="00481FD4" w:rsidRDefault="00405508">
            <w:pPr>
              <w:jc w:val="center"/>
              <w:cnfStyle w:val="000000100000"/>
            </w:pPr>
            <w:r>
              <w:t>HFO</w:t>
            </w:r>
          </w:p>
        </w:tc>
        <w:tc>
          <w:tcPr>
            <w:tcW w:w="1559" w:type="dxa"/>
          </w:tcPr>
          <w:p w:rsidR="00481FD4" w:rsidRDefault="00405508">
            <w:pPr>
              <w:jc w:val="center"/>
              <w:cnfStyle w:val="000000100000"/>
            </w:pPr>
            <w:r>
              <w:t>MGO</w:t>
            </w:r>
          </w:p>
        </w:tc>
        <w:tc>
          <w:tcPr>
            <w:tcW w:w="1559" w:type="dxa"/>
          </w:tcPr>
          <w:p w:rsidR="00481FD4" w:rsidRDefault="00405508">
            <w:pPr>
              <w:jc w:val="center"/>
              <w:cnfStyle w:val="000000100000"/>
            </w:pPr>
            <w:r>
              <w:t>MGO</w:t>
            </w:r>
          </w:p>
        </w:tc>
        <w:tc>
          <w:tcPr>
            <w:tcW w:w="1591" w:type="dxa"/>
          </w:tcPr>
          <w:p w:rsidR="00481FD4" w:rsidRDefault="00405508">
            <w:pPr>
              <w:jc w:val="center"/>
              <w:cnfStyle w:val="000000100000"/>
            </w:pPr>
            <w:r>
              <w:t>MGO</w:t>
            </w:r>
          </w:p>
        </w:tc>
      </w:tr>
      <w:tr w:rsidR="00481FD4" w:rsidTr="00481FD4">
        <w:trPr>
          <w:cnfStyle w:val="000000010000"/>
          <w:jc w:val="center"/>
        </w:trPr>
        <w:tc>
          <w:tcPr>
            <w:cnfStyle w:val="001000000000"/>
            <w:tcW w:w="3085" w:type="dxa"/>
          </w:tcPr>
          <w:p w:rsidR="00481FD4" w:rsidRDefault="00405508">
            <w:r>
              <w:t>Consumption at port (AE's)</w:t>
            </w:r>
          </w:p>
        </w:tc>
        <w:tc>
          <w:tcPr>
            <w:tcW w:w="1418" w:type="dxa"/>
          </w:tcPr>
          <w:p w:rsidR="00481FD4" w:rsidRDefault="00405508">
            <w:pPr>
              <w:jc w:val="center"/>
              <w:cnfStyle w:val="000000010000"/>
            </w:pPr>
            <w:r>
              <w:t>MGO</w:t>
            </w:r>
          </w:p>
        </w:tc>
        <w:tc>
          <w:tcPr>
            <w:tcW w:w="1559" w:type="dxa"/>
          </w:tcPr>
          <w:p w:rsidR="00481FD4" w:rsidRDefault="00405508">
            <w:pPr>
              <w:jc w:val="center"/>
              <w:cnfStyle w:val="000000010000"/>
            </w:pPr>
            <w:r>
              <w:t>MGO</w:t>
            </w:r>
          </w:p>
        </w:tc>
        <w:tc>
          <w:tcPr>
            <w:tcW w:w="1559" w:type="dxa"/>
          </w:tcPr>
          <w:p w:rsidR="00481FD4" w:rsidRDefault="00405508">
            <w:pPr>
              <w:jc w:val="center"/>
              <w:cnfStyle w:val="000000010000"/>
            </w:pPr>
            <w:r>
              <w:t>MGO</w:t>
            </w:r>
          </w:p>
        </w:tc>
        <w:tc>
          <w:tcPr>
            <w:tcW w:w="1591" w:type="dxa"/>
          </w:tcPr>
          <w:p w:rsidR="00481FD4" w:rsidRDefault="00405508">
            <w:pPr>
              <w:jc w:val="center"/>
              <w:cnfStyle w:val="000000010000"/>
            </w:pPr>
            <w:r>
              <w:t>MGO</w:t>
            </w:r>
          </w:p>
        </w:tc>
      </w:tr>
    </w:tbl>
    <w:p w:rsidR="00481FD4" w:rsidRDefault="00405508">
      <w:pPr>
        <w:pStyle w:val="Bijschrift"/>
        <w:jc w:val="center"/>
      </w:pPr>
      <w:r>
        <w:t xml:space="preserve">Table </w:t>
      </w:r>
      <w:r w:rsidR="003352B0">
        <w:fldChar w:fldCharType="begin"/>
      </w:r>
      <w:r w:rsidR="004D4B90">
        <w:instrText xml:space="preserve"> SEQ Tabel \* ARABIC </w:instrText>
      </w:r>
      <w:r w:rsidR="003352B0">
        <w:fldChar w:fldCharType="separate"/>
      </w:r>
      <w:r>
        <w:rPr>
          <w:noProof/>
        </w:rPr>
        <w:t>2</w:t>
      </w:r>
      <w:r w:rsidR="003352B0">
        <w:rPr>
          <w:noProof/>
        </w:rPr>
        <w:fldChar w:fldCharType="end"/>
      </w:r>
      <w:r>
        <w:t>: MGO scenario</w:t>
      </w:r>
    </w:p>
    <w:p w:rsidR="00481FD4" w:rsidRDefault="00481FD4">
      <w:pPr>
        <w:pStyle w:val="Kop3"/>
      </w:pPr>
    </w:p>
    <w:p w:rsidR="00481FD4" w:rsidRDefault="00405508">
      <w:pPr>
        <w:rPr>
          <w:rFonts w:asciiTheme="majorHAnsi" w:eastAsiaTheme="majorEastAsia" w:hAnsiTheme="majorHAnsi" w:cstheme="majorBidi"/>
          <w:b/>
          <w:bCs/>
          <w:color w:val="4F81BD" w:themeColor="accent1"/>
        </w:rPr>
      </w:pPr>
      <w:r>
        <w:br w:type="page"/>
      </w:r>
    </w:p>
    <w:p w:rsidR="00481FD4" w:rsidRDefault="00405508">
      <w:pPr>
        <w:pStyle w:val="Kop3"/>
      </w:pPr>
      <w:bookmarkStart w:id="8" w:name="_Toc455838050"/>
      <w:r>
        <w:lastRenderedPageBreak/>
        <w:t>2.4.3 Using a Scrubber Installation</w:t>
      </w:r>
      <w:bookmarkEnd w:id="8"/>
    </w:p>
    <w:p w:rsidR="00481FD4" w:rsidRDefault="00397171">
      <w:pPr>
        <w:jc w:val="both"/>
      </w:pPr>
      <w:r>
        <w:t>“</w:t>
      </w:r>
      <w:r w:rsidR="00405508">
        <w:t xml:space="preserve">A scrubber is a device installed in the exhaust system after the engine or boiler that treats the exhaust gas with a variety of substances including sea water, chemically treated fresh water or dry substances, so as to remove the most of the </w:t>
      </w:r>
      <w:proofErr w:type="spellStart"/>
      <w:r w:rsidR="00405508">
        <w:t>SOx</w:t>
      </w:r>
      <w:proofErr w:type="spellEnd"/>
      <w:r w:rsidR="00405508">
        <w:t xml:space="preserve"> from the exhaust. </w:t>
      </w:r>
      <w:r w:rsidR="001D12A2">
        <w:t>T</w:t>
      </w:r>
      <w:r w:rsidR="00405508">
        <w:t>here are two types of scrubbers: wet and dry. The dry scrubber uses dry chemicals (Ca(OH)</w:t>
      </w:r>
      <w:r w:rsidR="00405508">
        <w:rPr>
          <w:vertAlign w:val="subscript"/>
        </w:rPr>
        <w:t>2</w:t>
      </w:r>
      <w:r w:rsidR="00405508">
        <w:t>), and the wet scrubber uses water as a scrubbing medium. Wet scrubbers are more acceptable for ships because of their lower price and smaller dimensions of units. That is why the wet type of scrubber is the most widely used in shipbuilding. There are three main types of wet scrubbers</w:t>
      </w:r>
      <w:r>
        <w:t>”</w:t>
      </w:r>
      <w:r w:rsidR="00405508">
        <w:t xml:space="preserve"> </w:t>
      </w:r>
      <w:sdt>
        <w:sdtPr>
          <w:id w:val="80775908"/>
          <w:citation/>
        </w:sdtPr>
        <w:sdtContent>
          <w:r w:rsidR="003352B0">
            <w:fldChar w:fldCharType="begin"/>
          </w:r>
          <w:r w:rsidR="004D4B90">
            <w:instrText xml:space="preserve"> CITATION Pan14 \l 2067  </w:instrText>
          </w:r>
          <w:r w:rsidR="003352B0">
            <w:fldChar w:fldCharType="separate"/>
          </w:r>
          <w:r w:rsidR="00405508">
            <w:rPr>
              <w:noProof/>
            </w:rPr>
            <w:t>(Panasiuk I. , 2014)</w:t>
          </w:r>
          <w:r w:rsidR="003352B0">
            <w:rPr>
              <w:noProof/>
            </w:rPr>
            <w:fldChar w:fldCharType="end"/>
          </w:r>
        </w:sdtContent>
      </w:sdt>
      <w:r w:rsidR="00405508">
        <w:t>:</w:t>
      </w:r>
    </w:p>
    <w:p w:rsidR="00481FD4" w:rsidRDefault="00405508">
      <w:pPr>
        <w:pStyle w:val="Lijstalinea"/>
        <w:numPr>
          <w:ilvl w:val="0"/>
          <w:numId w:val="18"/>
        </w:numPr>
        <w:jc w:val="both"/>
      </w:pPr>
      <w:r>
        <w:t xml:space="preserve">Open loop scrubbers, which uses only sea water; </w:t>
      </w:r>
    </w:p>
    <w:p w:rsidR="00481FD4" w:rsidRDefault="00405508">
      <w:pPr>
        <w:pStyle w:val="Lijstalinea"/>
        <w:numPr>
          <w:ilvl w:val="0"/>
          <w:numId w:val="18"/>
        </w:numPr>
        <w:jc w:val="both"/>
      </w:pPr>
      <w:r>
        <w:t xml:space="preserve">Closed-loop scrubbers, which uses fresh water that is when necessary mixed with caustic soda; </w:t>
      </w:r>
    </w:p>
    <w:p w:rsidR="00481FD4" w:rsidRDefault="00405508">
      <w:pPr>
        <w:pStyle w:val="Lijstalinea"/>
        <w:numPr>
          <w:ilvl w:val="0"/>
          <w:numId w:val="18"/>
        </w:numPr>
        <w:jc w:val="both"/>
      </w:pPr>
      <w:r>
        <w:t>Hybrid scrubbers, which has both benefits of the open- and the closed-loop.</w:t>
      </w:r>
    </w:p>
    <w:p w:rsidR="00481FD4" w:rsidRDefault="00397171">
      <w:pPr>
        <w:jc w:val="both"/>
      </w:pPr>
      <w:r>
        <w:t>“</w:t>
      </w:r>
      <w:r w:rsidR="00405508">
        <w:t xml:space="preserve">According to DNV, it is more probable that there will be a gradual increase of scrubber retrofits from 2018, rather than a sharp increase in 2020 once the global </w:t>
      </w:r>
      <w:proofErr w:type="spellStart"/>
      <w:r w:rsidR="00405508">
        <w:t>sulphur</w:t>
      </w:r>
      <w:proofErr w:type="spellEnd"/>
      <w:r w:rsidR="00405508">
        <w:t xml:space="preserve"> limit is enforced. Even if the global </w:t>
      </w:r>
      <w:proofErr w:type="spellStart"/>
      <w:r w:rsidR="00405508">
        <w:t>sulphur</w:t>
      </w:r>
      <w:proofErr w:type="spellEnd"/>
      <w:r w:rsidR="00405508">
        <w:t xml:space="preserve"> limit is not enforced until</w:t>
      </w:r>
      <w:r w:rsidR="001D12A2">
        <w:t xml:space="preserve"> 2025, the EU has stated that it</w:t>
      </w:r>
      <w:r w:rsidR="00405508">
        <w:t xml:space="preserve"> will enforce a 0.5% </w:t>
      </w:r>
      <w:proofErr w:type="spellStart"/>
      <w:r w:rsidR="00405508">
        <w:t>sulphur</w:t>
      </w:r>
      <w:proofErr w:type="spellEnd"/>
      <w:r w:rsidR="00405508">
        <w:t xml:space="preserve"> limit in its waters in 2020 regardless. Although this will not have a global impact as most fuel is burned in international waters, it is still expected to cause a spike in scrubber interest</w:t>
      </w:r>
      <w:r>
        <w:t>”</w:t>
      </w:r>
      <w:r w:rsidR="00405508">
        <w:t xml:space="preserve"> </w:t>
      </w:r>
      <w:sdt>
        <w:sdtPr>
          <w:id w:val="80775898"/>
          <w:citation/>
        </w:sdtPr>
        <w:sdtContent>
          <w:r w:rsidR="003352B0">
            <w:fldChar w:fldCharType="begin"/>
          </w:r>
          <w:r w:rsidR="004D4B90">
            <w:instrText xml:space="preserve"> CITATION DNV12 \l 2067 </w:instrText>
          </w:r>
          <w:r w:rsidR="003352B0">
            <w:fldChar w:fldCharType="separate"/>
          </w:r>
          <w:r w:rsidR="00405508">
            <w:rPr>
              <w:noProof/>
            </w:rPr>
            <w:t>(DNV, 2012)</w:t>
          </w:r>
          <w:r w:rsidR="003352B0">
            <w:rPr>
              <w:noProof/>
            </w:rPr>
            <w:fldChar w:fldCharType="end"/>
          </w:r>
        </w:sdtContent>
      </w:sdt>
      <w:r w:rsidR="00405508">
        <w:t xml:space="preserve">. </w:t>
      </w:r>
    </w:p>
    <w:p w:rsidR="00481FD4" w:rsidRDefault="00405508">
      <w:pPr>
        <w:jc w:val="both"/>
      </w:pPr>
      <w:r>
        <w:t>The scenario which consists of installing a scrubber system would entail running the main engine on H</w:t>
      </w:r>
      <w:r w:rsidR="001D12A2">
        <w:t>F</w:t>
      </w:r>
      <w:r>
        <w:t>O at all times as shown in Table 3.</w:t>
      </w:r>
    </w:p>
    <w:tbl>
      <w:tblPr>
        <w:tblStyle w:val="Lichtraster-accent3"/>
        <w:tblW w:w="0" w:type="auto"/>
        <w:jc w:val="center"/>
        <w:tblLook w:val="04A0"/>
      </w:tblPr>
      <w:tblGrid>
        <w:gridCol w:w="3085"/>
        <w:gridCol w:w="1418"/>
        <w:gridCol w:w="1559"/>
        <w:gridCol w:w="1559"/>
        <w:gridCol w:w="1591"/>
      </w:tblGrid>
      <w:tr w:rsidR="00481FD4" w:rsidTr="00481FD4">
        <w:trPr>
          <w:cnfStyle w:val="100000000000"/>
          <w:jc w:val="center"/>
        </w:trPr>
        <w:tc>
          <w:tcPr>
            <w:cnfStyle w:val="001000000000"/>
            <w:tcW w:w="9212" w:type="dxa"/>
            <w:gridSpan w:val="5"/>
          </w:tcPr>
          <w:p w:rsidR="00481FD4" w:rsidRDefault="00405508">
            <w:r>
              <w:t>Scrubber scenario:</w:t>
            </w:r>
          </w:p>
        </w:tc>
      </w:tr>
      <w:tr w:rsidR="00481FD4" w:rsidTr="00481FD4">
        <w:trPr>
          <w:cnfStyle w:val="000000100000"/>
          <w:jc w:val="center"/>
        </w:trPr>
        <w:tc>
          <w:tcPr>
            <w:cnfStyle w:val="001000000000"/>
            <w:tcW w:w="3085" w:type="dxa"/>
          </w:tcPr>
          <w:p w:rsidR="00481FD4" w:rsidRDefault="00481FD4"/>
        </w:tc>
        <w:tc>
          <w:tcPr>
            <w:tcW w:w="2977" w:type="dxa"/>
            <w:gridSpan w:val="2"/>
          </w:tcPr>
          <w:p w:rsidR="00481FD4" w:rsidRDefault="00405508">
            <w:pPr>
              <w:jc w:val="center"/>
              <w:cnfStyle w:val="000000100000"/>
            </w:pPr>
            <w:r>
              <w:t>2015-2019</w:t>
            </w:r>
          </w:p>
        </w:tc>
        <w:tc>
          <w:tcPr>
            <w:tcW w:w="3150" w:type="dxa"/>
            <w:gridSpan w:val="2"/>
          </w:tcPr>
          <w:p w:rsidR="00481FD4" w:rsidRDefault="00405508">
            <w:pPr>
              <w:jc w:val="center"/>
              <w:cnfStyle w:val="000000100000"/>
            </w:pPr>
            <w:r>
              <w:t>2020-2024</w:t>
            </w:r>
          </w:p>
        </w:tc>
      </w:tr>
      <w:tr w:rsidR="00481FD4" w:rsidTr="00481FD4">
        <w:trPr>
          <w:cnfStyle w:val="000000010000"/>
          <w:jc w:val="center"/>
        </w:trPr>
        <w:tc>
          <w:tcPr>
            <w:cnfStyle w:val="001000000000"/>
            <w:tcW w:w="3085" w:type="dxa"/>
          </w:tcPr>
          <w:p w:rsidR="00481FD4" w:rsidRDefault="00481FD4"/>
        </w:tc>
        <w:tc>
          <w:tcPr>
            <w:tcW w:w="1418" w:type="dxa"/>
          </w:tcPr>
          <w:p w:rsidR="00481FD4" w:rsidRDefault="00405508">
            <w:pPr>
              <w:jc w:val="center"/>
              <w:cnfStyle w:val="000000010000"/>
            </w:pPr>
            <w:r>
              <w:t>Non ECA</w:t>
            </w:r>
          </w:p>
        </w:tc>
        <w:tc>
          <w:tcPr>
            <w:tcW w:w="1559" w:type="dxa"/>
          </w:tcPr>
          <w:p w:rsidR="00481FD4" w:rsidRDefault="00405508">
            <w:pPr>
              <w:jc w:val="center"/>
              <w:cnfStyle w:val="000000010000"/>
            </w:pPr>
            <w:r>
              <w:t>ECA</w:t>
            </w:r>
          </w:p>
        </w:tc>
        <w:tc>
          <w:tcPr>
            <w:tcW w:w="1559" w:type="dxa"/>
          </w:tcPr>
          <w:p w:rsidR="00481FD4" w:rsidRDefault="00405508">
            <w:pPr>
              <w:jc w:val="center"/>
              <w:cnfStyle w:val="000000010000"/>
            </w:pPr>
            <w:r>
              <w:t>Non ECA</w:t>
            </w:r>
          </w:p>
        </w:tc>
        <w:tc>
          <w:tcPr>
            <w:tcW w:w="1591" w:type="dxa"/>
          </w:tcPr>
          <w:p w:rsidR="00481FD4" w:rsidRDefault="00405508">
            <w:pPr>
              <w:jc w:val="center"/>
              <w:cnfStyle w:val="000000010000"/>
            </w:pPr>
            <w:r>
              <w:t>ECA</w:t>
            </w:r>
          </w:p>
        </w:tc>
      </w:tr>
      <w:tr w:rsidR="00481FD4" w:rsidTr="00481FD4">
        <w:trPr>
          <w:cnfStyle w:val="000000100000"/>
          <w:jc w:val="center"/>
        </w:trPr>
        <w:tc>
          <w:tcPr>
            <w:cnfStyle w:val="001000000000"/>
            <w:tcW w:w="3085" w:type="dxa"/>
          </w:tcPr>
          <w:p w:rsidR="00481FD4" w:rsidRDefault="00405508">
            <w:r>
              <w:t>Consumption at  sea (ME)</w:t>
            </w:r>
          </w:p>
        </w:tc>
        <w:tc>
          <w:tcPr>
            <w:tcW w:w="1418" w:type="dxa"/>
          </w:tcPr>
          <w:p w:rsidR="00481FD4" w:rsidRDefault="00405508">
            <w:pPr>
              <w:jc w:val="center"/>
              <w:cnfStyle w:val="000000100000"/>
            </w:pPr>
            <w:r>
              <w:t>HFO</w:t>
            </w:r>
          </w:p>
        </w:tc>
        <w:tc>
          <w:tcPr>
            <w:tcW w:w="1559" w:type="dxa"/>
          </w:tcPr>
          <w:p w:rsidR="00481FD4" w:rsidRDefault="00405508">
            <w:pPr>
              <w:jc w:val="center"/>
              <w:cnfStyle w:val="000000100000"/>
            </w:pPr>
            <w:r>
              <w:t>HFO</w:t>
            </w:r>
          </w:p>
        </w:tc>
        <w:tc>
          <w:tcPr>
            <w:tcW w:w="1559" w:type="dxa"/>
          </w:tcPr>
          <w:p w:rsidR="00481FD4" w:rsidRDefault="00405508">
            <w:pPr>
              <w:jc w:val="center"/>
              <w:cnfStyle w:val="000000100000"/>
            </w:pPr>
            <w:r>
              <w:t>HFO</w:t>
            </w:r>
          </w:p>
        </w:tc>
        <w:tc>
          <w:tcPr>
            <w:tcW w:w="1591" w:type="dxa"/>
          </w:tcPr>
          <w:p w:rsidR="00481FD4" w:rsidRDefault="00405508">
            <w:pPr>
              <w:jc w:val="center"/>
              <w:cnfStyle w:val="000000100000"/>
            </w:pPr>
            <w:r>
              <w:t>HFO</w:t>
            </w:r>
          </w:p>
        </w:tc>
      </w:tr>
      <w:tr w:rsidR="00481FD4" w:rsidTr="00481FD4">
        <w:trPr>
          <w:cnfStyle w:val="000000010000"/>
          <w:jc w:val="center"/>
        </w:trPr>
        <w:tc>
          <w:tcPr>
            <w:cnfStyle w:val="001000000000"/>
            <w:tcW w:w="3085" w:type="dxa"/>
          </w:tcPr>
          <w:p w:rsidR="00481FD4" w:rsidRDefault="00405508">
            <w:r>
              <w:t>Consumption at port (AE's)</w:t>
            </w:r>
          </w:p>
        </w:tc>
        <w:tc>
          <w:tcPr>
            <w:tcW w:w="1418" w:type="dxa"/>
          </w:tcPr>
          <w:p w:rsidR="00481FD4" w:rsidRDefault="00405508">
            <w:pPr>
              <w:jc w:val="center"/>
              <w:cnfStyle w:val="000000010000"/>
            </w:pPr>
            <w:r>
              <w:t>MGO</w:t>
            </w:r>
          </w:p>
        </w:tc>
        <w:tc>
          <w:tcPr>
            <w:tcW w:w="1559" w:type="dxa"/>
          </w:tcPr>
          <w:p w:rsidR="00481FD4" w:rsidRDefault="00405508">
            <w:pPr>
              <w:jc w:val="center"/>
              <w:cnfStyle w:val="000000010000"/>
            </w:pPr>
            <w:r>
              <w:t>MGO</w:t>
            </w:r>
          </w:p>
        </w:tc>
        <w:tc>
          <w:tcPr>
            <w:tcW w:w="1559" w:type="dxa"/>
          </w:tcPr>
          <w:p w:rsidR="00481FD4" w:rsidRDefault="00405508">
            <w:pPr>
              <w:jc w:val="center"/>
              <w:cnfStyle w:val="000000010000"/>
            </w:pPr>
            <w:r>
              <w:t>MGO</w:t>
            </w:r>
          </w:p>
        </w:tc>
        <w:tc>
          <w:tcPr>
            <w:tcW w:w="1591" w:type="dxa"/>
          </w:tcPr>
          <w:p w:rsidR="00481FD4" w:rsidRDefault="00405508">
            <w:pPr>
              <w:jc w:val="center"/>
              <w:cnfStyle w:val="000000010000"/>
            </w:pPr>
            <w:r>
              <w:t>MGO</w:t>
            </w:r>
          </w:p>
        </w:tc>
      </w:tr>
    </w:tbl>
    <w:p w:rsidR="00481FD4" w:rsidRDefault="00405508">
      <w:pPr>
        <w:pStyle w:val="Bijschrift"/>
        <w:jc w:val="center"/>
      </w:pPr>
      <w:r>
        <w:t xml:space="preserve">Table </w:t>
      </w:r>
      <w:r w:rsidR="003352B0">
        <w:fldChar w:fldCharType="begin"/>
      </w:r>
      <w:r w:rsidR="004D4B90">
        <w:instrText xml:space="preserve"> SEQ Tabel \* ARABIC </w:instrText>
      </w:r>
      <w:r w:rsidR="003352B0">
        <w:fldChar w:fldCharType="separate"/>
      </w:r>
      <w:r>
        <w:rPr>
          <w:noProof/>
        </w:rPr>
        <w:t>3</w:t>
      </w:r>
      <w:r w:rsidR="003352B0">
        <w:rPr>
          <w:noProof/>
        </w:rPr>
        <w:fldChar w:fldCharType="end"/>
      </w:r>
      <w:r>
        <w:t>: Scrubber scenario</w:t>
      </w:r>
    </w:p>
    <w:p w:rsidR="00481FD4" w:rsidRDefault="00405508">
      <w:pPr>
        <w:rPr>
          <w:lang w:val="en-GB"/>
        </w:rPr>
      </w:pPr>
      <w:r>
        <w:rPr>
          <w:lang w:val="en-GB"/>
        </w:rPr>
        <w:br w:type="page"/>
      </w:r>
    </w:p>
    <w:p w:rsidR="00481FD4" w:rsidRDefault="00405508">
      <w:pPr>
        <w:jc w:val="both"/>
        <w:rPr>
          <w:lang w:val="en-GB"/>
        </w:rPr>
      </w:pPr>
      <w:r>
        <w:rPr>
          <w:lang w:val="en-GB"/>
        </w:rPr>
        <w:lastRenderedPageBreak/>
        <w:t>Below, the most important advantages and disadvan</w:t>
      </w:r>
      <w:r w:rsidR="001D12A2">
        <w:rPr>
          <w:lang w:val="en-GB"/>
        </w:rPr>
        <w:t>tages of each compliance option</w:t>
      </w:r>
      <w:r>
        <w:rPr>
          <w:lang w:val="en-GB"/>
        </w:rPr>
        <w:t xml:space="preserve"> are set in Table 4.</w:t>
      </w:r>
    </w:p>
    <w:p w:rsidR="00481FD4" w:rsidRDefault="00405508">
      <w:pPr>
        <w:pStyle w:val="Bijschrift"/>
        <w:keepNext/>
        <w:jc w:val="center"/>
      </w:pPr>
      <w:r>
        <w:rPr>
          <w:noProof/>
          <w:lang w:val="nl-BE" w:eastAsia="nl-BE"/>
        </w:rPr>
        <w:drawing>
          <wp:inline distT="0" distB="0" distL="0" distR="0">
            <wp:extent cx="5443855" cy="2041525"/>
            <wp:effectExtent l="19050" t="0" r="444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443855" cy="2041525"/>
                    </a:xfrm>
                    <a:prstGeom prst="rect">
                      <a:avLst/>
                    </a:prstGeom>
                    <a:noFill/>
                    <a:ln w="9525">
                      <a:noFill/>
                      <a:miter lim="800000"/>
                      <a:headEnd/>
                      <a:tailEnd/>
                    </a:ln>
                  </pic:spPr>
                </pic:pic>
              </a:graphicData>
            </a:graphic>
          </wp:inline>
        </w:drawing>
      </w:r>
    </w:p>
    <w:p w:rsidR="00481FD4" w:rsidRDefault="00405508">
      <w:pPr>
        <w:pStyle w:val="Bijschrift"/>
        <w:keepNext/>
        <w:jc w:val="center"/>
      </w:pPr>
      <w:r>
        <w:t xml:space="preserve">Table </w:t>
      </w:r>
      <w:r w:rsidR="003352B0">
        <w:fldChar w:fldCharType="begin"/>
      </w:r>
      <w:r w:rsidR="004D4B90">
        <w:instrText xml:space="preserve"> SEQ Tabel \* ARABIC </w:instrText>
      </w:r>
      <w:r w:rsidR="003352B0">
        <w:fldChar w:fldCharType="separate"/>
      </w:r>
      <w:r>
        <w:rPr>
          <w:noProof/>
        </w:rPr>
        <w:t>4</w:t>
      </w:r>
      <w:r w:rsidR="003352B0">
        <w:rPr>
          <w:noProof/>
        </w:rPr>
        <w:fldChar w:fldCharType="end"/>
      </w:r>
      <w:r>
        <w:t xml:space="preserve">: The comparison of </w:t>
      </w:r>
      <w:proofErr w:type="spellStart"/>
      <w:r>
        <w:t>SOx</w:t>
      </w:r>
      <w:proofErr w:type="spellEnd"/>
      <w:r>
        <w:t xml:space="preserve"> reduction technologies </w:t>
      </w:r>
      <w:sdt>
        <w:sdtPr>
          <w:id w:val="66977331"/>
          <w:citation/>
        </w:sdtPr>
        <w:sdtContent>
          <w:r w:rsidR="003352B0">
            <w:fldChar w:fldCharType="begin"/>
          </w:r>
          <w:r w:rsidR="004D4B90">
            <w:instrText xml:space="preserve"> CITATION Ira15 \l 2067  </w:instrText>
          </w:r>
          <w:r w:rsidR="003352B0">
            <w:fldChar w:fldCharType="separate"/>
          </w:r>
          <w:r>
            <w:rPr>
              <w:noProof/>
            </w:rPr>
            <w:t>(Panasiuk I. , 2015)</w:t>
          </w:r>
          <w:r w:rsidR="003352B0">
            <w:rPr>
              <w:noProof/>
            </w:rPr>
            <w:fldChar w:fldCharType="end"/>
          </w:r>
        </w:sdtContent>
      </w:sdt>
      <w:r>
        <w:t>.</w:t>
      </w:r>
    </w:p>
    <w:p w:rsidR="00481FD4" w:rsidRDefault="00405508">
      <w:pPr>
        <w:jc w:val="both"/>
        <w:rPr>
          <w:lang w:val="en-GB"/>
        </w:rPr>
      </w:pPr>
      <w:r>
        <w:rPr>
          <w:lang w:val="en-GB"/>
        </w:rPr>
        <w:t xml:space="preserve">Because of the tightening-up of the sulphur regulations and the expansion of the ECAs, the company CFL likes to determine if the installation of a scrubber is a possible and a dignified alternative. The determination of the most suitable installation will be done during this study. </w:t>
      </w:r>
    </w:p>
    <w:p w:rsidR="00481FD4" w:rsidRDefault="00397171">
      <w:pPr>
        <w:jc w:val="both"/>
        <w:rPr>
          <w:lang w:val="en-GB"/>
        </w:rPr>
      </w:pPr>
      <w:r>
        <w:rPr>
          <w:lang w:val="en-GB"/>
        </w:rPr>
        <w:t>“</w:t>
      </w:r>
      <w:r w:rsidR="00405508">
        <w:rPr>
          <w:lang w:val="en-GB"/>
        </w:rPr>
        <w:t>In the study, the use of low-sulphur fuel/distillate will function as reference case as to the feasibility of the scrubber installation investigated solution. The alternative solution will be evaluated by means of various scenarios considering operational profiles and fuel prices, and the evaluation will take into account that the vessel will be sailing in both ECA and non-ECA waters</w:t>
      </w:r>
      <w:r>
        <w:rPr>
          <w:lang w:val="en-GB"/>
        </w:rPr>
        <w:t>”</w:t>
      </w:r>
      <w:r w:rsidR="00405508">
        <w:rPr>
          <w:lang w:val="en-GB"/>
        </w:rPr>
        <w:t xml:space="preserve"> </w:t>
      </w:r>
      <w:sdt>
        <w:sdtPr>
          <w:rPr>
            <w:lang w:val="en-GB"/>
          </w:rPr>
          <w:id w:val="134750356"/>
          <w:citation/>
        </w:sdtPr>
        <w:sdtContent>
          <w:r w:rsidR="003352B0">
            <w:fldChar w:fldCharType="begin"/>
          </w:r>
          <w:r w:rsidR="004D4B90">
            <w:instrText xml:space="preserve"> CITATION Kli12 \l 2067 </w:instrText>
          </w:r>
          <w:r w:rsidR="003352B0">
            <w:fldChar w:fldCharType="separate"/>
          </w:r>
          <w:r w:rsidR="00405508">
            <w:rPr>
              <w:noProof/>
            </w:rPr>
            <w:t>(Klimt-Mollenbach, Schack, Eefsen, &amp; De Kat, 2012)</w:t>
          </w:r>
          <w:r w:rsidR="003352B0">
            <w:rPr>
              <w:noProof/>
            </w:rPr>
            <w:fldChar w:fldCharType="end"/>
          </w:r>
        </w:sdtContent>
      </w:sdt>
      <w:r w:rsidR="00405508">
        <w:rPr>
          <w:lang w:val="en-GB"/>
        </w:rPr>
        <w:t xml:space="preserve">. </w:t>
      </w:r>
    </w:p>
    <w:p w:rsidR="00481FD4" w:rsidRDefault="00481FD4">
      <w:pPr>
        <w:pStyle w:val="Kop2"/>
      </w:pPr>
    </w:p>
    <w:p w:rsidR="00481FD4" w:rsidRDefault="00405508">
      <w:pPr>
        <w:pStyle w:val="Kop2"/>
      </w:pPr>
      <w:bookmarkStart w:id="9" w:name="_Toc455838051"/>
      <w:r>
        <w:t>2.5 Scrubber Technologies</w:t>
      </w:r>
      <w:bookmarkEnd w:id="9"/>
    </w:p>
    <w:p w:rsidR="00481FD4" w:rsidRDefault="00405508">
      <w:pPr>
        <w:jc w:val="both"/>
      </w:pPr>
      <w:r>
        <w:t xml:space="preserve">In the marine industry there exist two general categories of scrubber: </w:t>
      </w:r>
    </w:p>
    <w:p w:rsidR="00481FD4" w:rsidRDefault="00405508">
      <w:pPr>
        <w:pStyle w:val="Lijstalinea"/>
        <w:numPr>
          <w:ilvl w:val="0"/>
          <w:numId w:val="4"/>
        </w:numPr>
        <w:jc w:val="both"/>
      </w:pPr>
      <w:r>
        <w:t>Wet scrubbers</w:t>
      </w:r>
    </w:p>
    <w:p w:rsidR="00481FD4" w:rsidRDefault="00405508">
      <w:pPr>
        <w:pStyle w:val="Lijstalinea"/>
        <w:numPr>
          <w:ilvl w:val="0"/>
          <w:numId w:val="4"/>
        </w:numPr>
        <w:jc w:val="both"/>
      </w:pPr>
      <w:r>
        <w:t>Dry scrubbers</w:t>
      </w:r>
    </w:p>
    <w:p w:rsidR="00481FD4" w:rsidRDefault="00405508">
      <w:pPr>
        <w:jc w:val="both"/>
      </w:pPr>
      <w:r>
        <w:t>Both types have already shown that they are able to meet the requirements of MARPOL Annex VI, but wet scrubbers remain the dominant type within the marine industry. The working principle of these scrubber technologies of the different manufacturers is almost the same</w:t>
      </w:r>
      <w:r>
        <w:rPr>
          <w:rStyle w:val="Voetnootmarkering"/>
        </w:rPr>
        <w:footnoteReference w:id="2"/>
      </w:r>
      <w:r>
        <w:t>. In Table 5, a comparison between both scrubber technologies is given.</w:t>
      </w:r>
    </w:p>
    <w:p w:rsidR="00481FD4" w:rsidRDefault="00405508">
      <w:pPr>
        <w:jc w:val="both"/>
      </w:pPr>
      <w:r>
        <w:br w:type="page"/>
      </w:r>
    </w:p>
    <w:p w:rsidR="00481FD4" w:rsidRDefault="00405508">
      <w:pPr>
        <w:pStyle w:val="Kop3"/>
      </w:pPr>
      <w:bookmarkStart w:id="10" w:name="_Toc455838052"/>
      <w:r>
        <w:lastRenderedPageBreak/>
        <w:t>2.5.1 Comparison between Wet and Dry Scrubbers</w:t>
      </w:r>
      <w:bookmarkEnd w:id="10"/>
    </w:p>
    <w:p w:rsidR="00481FD4" w:rsidRDefault="00481FD4"/>
    <w:tbl>
      <w:tblPr>
        <w:tblW w:w="1050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60"/>
        <w:gridCol w:w="1984"/>
        <w:gridCol w:w="2410"/>
        <w:gridCol w:w="2410"/>
        <w:gridCol w:w="1701"/>
        <w:gridCol w:w="443"/>
      </w:tblGrid>
      <w:tr w:rsidR="00481FD4">
        <w:trPr>
          <w:trHeight w:val="262"/>
        </w:trPr>
        <w:tc>
          <w:tcPr>
            <w:tcW w:w="1560" w:type="dxa"/>
            <w:vMerge w:val="restart"/>
          </w:tcPr>
          <w:p w:rsidR="00481FD4" w:rsidRDefault="00405508">
            <w:pPr>
              <w:ind w:left="-42"/>
            </w:pPr>
            <w:r>
              <w:br w:type="page"/>
            </w:r>
          </w:p>
        </w:tc>
        <w:tc>
          <w:tcPr>
            <w:tcW w:w="6804" w:type="dxa"/>
            <w:gridSpan w:val="3"/>
          </w:tcPr>
          <w:p w:rsidR="00481FD4" w:rsidRDefault="00405508">
            <w:pPr>
              <w:jc w:val="center"/>
            </w:pPr>
            <w:r>
              <w:t>WET SCRUBBER</w:t>
            </w:r>
          </w:p>
        </w:tc>
        <w:tc>
          <w:tcPr>
            <w:tcW w:w="1701" w:type="dxa"/>
            <w:vMerge w:val="restart"/>
          </w:tcPr>
          <w:p w:rsidR="00481FD4" w:rsidRDefault="00405508">
            <w:pPr>
              <w:jc w:val="center"/>
            </w:pPr>
            <w:r>
              <w:t>DRY SCRUBBER</w:t>
            </w:r>
          </w:p>
        </w:tc>
        <w:tc>
          <w:tcPr>
            <w:tcW w:w="443" w:type="dxa"/>
            <w:vMerge w:val="restart"/>
            <w:tcBorders>
              <w:top w:val="nil"/>
              <w:right w:val="nil"/>
            </w:tcBorders>
          </w:tcPr>
          <w:p w:rsidR="00481FD4" w:rsidRDefault="00481FD4"/>
        </w:tc>
      </w:tr>
      <w:tr w:rsidR="00481FD4">
        <w:trPr>
          <w:trHeight w:val="310"/>
        </w:trPr>
        <w:tc>
          <w:tcPr>
            <w:tcW w:w="1560" w:type="dxa"/>
            <w:vMerge/>
          </w:tcPr>
          <w:p w:rsidR="00481FD4" w:rsidRDefault="00481FD4">
            <w:pPr>
              <w:ind w:left="-42"/>
            </w:pPr>
          </w:p>
        </w:tc>
        <w:tc>
          <w:tcPr>
            <w:tcW w:w="1984" w:type="dxa"/>
          </w:tcPr>
          <w:p w:rsidR="00481FD4" w:rsidRDefault="00405508">
            <w:pPr>
              <w:jc w:val="center"/>
            </w:pPr>
            <w:r>
              <w:t>OPEN-LOOP</w:t>
            </w:r>
          </w:p>
        </w:tc>
        <w:tc>
          <w:tcPr>
            <w:tcW w:w="2410" w:type="dxa"/>
          </w:tcPr>
          <w:p w:rsidR="00481FD4" w:rsidRDefault="00405508">
            <w:pPr>
              <w:jc w:val="center"/>
            </w:pPr>
            <w:r>
              <w:t>CLOSED-LOOP</w:t>
            </w:r>
          </w:p>
        </w:tc>
        <w:tc>
          <w:tcPr>
            <w:tcW w:w="2410" w:type="dxa"/>
          </w:tcPr>
          <w:p w:rsidR="00481FD4" w:rsidRDefault="00405508">
            <w:pPr>
              <w:jc w:val="center"/>
            </w:pPr>
            <w:r>
              <w:t>HYBRID</w:t>
            </w:r>
          </w:p>
        </w:tc>
        <w:tc>
          <w:tcPr>
            <w:tcW w:w="1701" w:type="dxa"/>
            <w:vMerge/>
          </w:tcPr>
          <w:p w:rsidR="00481FD4" w:rsidRDefault="00481FD4"/>
        </w:tc>
        <w:tc>
          <w:tcPr>
            <w:tcW w:w="443" w:type="dxa"/>
            <w:vMerge/>
            <w:tcBorders>
              <w:bottom w:val="nil"/>
              <w:right w:val="nil"/>
            </w:tcBorders>
          </w:tcPr>
          <w:p w:rsidR="00481FD4" w:rsidRDefault="00481FD4"/>
        </w:tc>
      </w:tr>
      <w:tr w:rsidR="00481FD4">
        <w:trPr>
          <w:gridAfter w:val="1"/>
          <w:wAfter w:w="443" w:type="dxa"/>
          <w:trHeight w:val="5271"/>
        </w:trPr>
        <w:tc>
          <w:tcPr>
            <w:tcW w:w="1560" w:type="dxa"/>
          </w:tcPr>
          <w:p w:rsidR="00481FD4" w:rsidRDefault="00405508">
            <w:r>
              <w:t>Main System Components</w:t>
            </w:r>
          </w:p>
        </w:tc>
        <w:tc>
          <w:tcPr>
            <w:tcW w:w="1984" w:type="dxa"/>
          </w:tcPr>
          <w:p w:rsidR="00481FD4" w:rsidRDefault="00405508">
            <w:pPr>
              <w:pStyle w:val="Lijstalinea"/>
              <w:numPr>
                <w:ilvl w:val="0"/>
                <w:numId w:val="11"/>
              </w:numPr>
            </w:pPr>
            <w:r>
              <w:rPr>
                <w:sz w:val="22"/>
              </w:rPr>
              <w:t>Scrubber</w:t>
            </w:r>
          </w:p>
          <w:p w:rsidR="00481FD4" w:rsidRDefault="00405508">
            <w:pPr>
              <w:pStyle w:val="Lijstalinea"/>
              <w:numPr>
                <w:ilvl w:val="0"/>
                <w:numId w:val="11"/>
              </w:numPr>
            </w:pPr>
            <w:proofErr w:type="spellStart"/>
            <w:r>
              <w:rPr>
                <w:sz w:val="22"/>
              </w:rPr>
              <w:t>Washwater</w:t>
            </w:r>
            <w:proofErr w:type="spellEnd"/>
            <w:r>
              <w:rPr>
                <w:sz w:val="22"/>
              </w:rPr>
              <w:t xml:space="preserve"> Piping</w:t>
            </w:r>
          </w:p>
          <w:p w:rsidR="00481FD4" w:rsidRDefault="00405508">
            <w:pPr>
              <w:pStyle w:val="Lijstalinea"/>
              <w:numPr>
                <w:ilvl w:val="0"/>
                <w:numId w:val="11"/>
              </w:numPr>
            </w:pPr>
            <w:proofErr w:type="spellStart"/>
            <w:r>
              <w:rPr>
                <w:sz w:val="22"/>
              </w:rPr>
              <w:t>Washwater</w:t>
            </w:r>
            <w:proofErr w:type="spellEnd"/>
            <w:r>
              <w:rPr>
                <w:sz w:val="22"/>
              </w:rPr>
              <w:t xml:space="preserve"> Pumps</w:t>
            </w:r>
          </w:p>
          <w:p w:rsidR="00481FD4" w:rsidRDefault="00405508">
            <w:pPr>
              <w:pStyle w:val="Lijstalinea"/>
              <w:numPr>
                <w:ilvl w:val="0"/>
                <w:numId w:val="11"/>
              </w:numPr>
            </w:pPr>
            <w:proofErr w:type="spellStart"/>
            <w:r>
              <w:rPr>
                <w:sz w:val="22"/>
              </w:rPr>
              <w:t>Washwater</w:t>
            </w:r>
            <w:proofErr w:type="spellEnd"/>
            <w:r>
              <w:rPr>
                <w:sz w:val="22"/>
              </w:rPr>
              <w:t xml:space="preserve"> treatment equipment</w:t>
            </w:r>
          </w:p>
          <w:p w:rsidR="00481FD4" w:rsidRDefault="00405508">
            <w:pPr>
              <w:pStyle w:val="Lijstalinea"/>
              <w:numPr>
                <w:ilvl w:val="0"/>
                <w:numId w:val="11"/>
              </w:numPr>
            </w:pPr>
            <w:r>
              <w:rPr>
                <w:sz w:val="22"/>
              </w:rPr>
              <w:t>Sludge handling equipment</w:t>
            </w:r>
          </w:p>
        </w:tc>
        <w:tc>
          <w:tcPr>
            <w:tcW w:w="2410" w:type="dxa"/>
          </w:tcPr>
          <w:p w:rsidR="00481FD4" w:rsidRDefault="00405508">
            <w:pPr>
              <w:pStyle w:val="Lijstalinea"/>
              <w:numPr>
                <w:ilvl w:val="0"/>
                <w:numId w:val="11"/>
              </w:numPr>
            </w:pPr>
            <w:r>
              <w:t>Scrubber</w:t>
            </w:r>
          </w:p>
          <w:p w:rsidR="00481FD4" w:rsidRDefault="00405508">
            <w:pPr>
              <w:pStyle w:val="Lijstalinea"/>
              <w:numPr>
                <w:ilvl w:val="0"/>
                <w:numId w:val="11"/>
              </w:numPr>
            </w:pPr>
            <w:proofErr w:type="spellStart"/>
            <w:r>
              <w:t>Washwater</w:t>
            </w:r>
            <w:proofErr w:type="spellEnd"/>
            <w:r>
              <w:t xml:space="preserve"> piping</w:t>
            </w:r>
          </w:p>
          <w:p w:rsidR="00481FD4" w:rsidRDefault="00405508">
            <w:pPr>
              <w:pStyle w:val="Lijstalinea"/>
              <w:numPr>
                <w:ilvl w:val="0"/>
                <w:numId w:val="11"/>
              </w:numPr>
            </w:pPr>
            <w:proofErr w:type="spellStart"/>
            <w:r>
              <w:t>Washwater</w:t>
            </w:r>
            <w:proofErr w:type="spellEnd"/>
            <w:r>
              <w:t xml:space="preserve"> pumps</w:t>
            </w:r>
          </w:p>
          <w:p w:rsidR="00481FD4" w:rsidRDefault="00405508">
            <w:pPr>
              <w:pStyle w:val="Lijstalinea"/>
              <w:numPr>
                <w:ilvl w:val="0"/>
                <w:numId w:val="11"/>
              </w:numPr>
            </w:pPr>
            <w:proofErr w:type="spellStart"/>
            <w:r>
              <w:t>Washwater</w:t>
            </w:r>
            <w:proofErr w:type="spellEnd"/>
            <w:r>
              <w:t xml:space="preserve"> processing tank</w:t>
            </w:r>
          </w:p>
          <w:p w:rsidR="00481FD4" w:rsidRDefault="00405508">
            <w:pPr>
              <w:pStyle w:val="Lijstalinea"/>
              <w:numPr>
                <w:ilvl w:val="0"/>
                <w:numId w:val="11"/>
              </w:numPr>
            </w:pPr>
            <w:proofErr w:type="spellStart"/>
            <w:r>
              <w:t>Washwater</w:t>
            </w:r>
            <w:proofErr w:type="spellEnd"/>
            <w:r>
              <w:t xml:space="preserve"> holding tank</w:t>
            </w:r>
          </w:p>
          <w:p w:rsidR="00481FD4" w:rsidRDefault="00405508">
            <w:pPr>
              <w:pStyle w:val="Lijstalinea"/>
              <w:numPr>
                <w:ilvl w:val="0"/>
                <w:numId w:val="11"/>
              </w:numPr>
            </w:pPr>
            <w:r>
              <w:t>Sodium hydroxide (</w:t>
            </w:r>
            <w:proofErr w:type="spellStart"/>
            <w:r>
              <w:t>NaOH</w:t>
            </w:r>
            <w:proofErr w:type="spellEnd"/>
            <w:r>
              <w:t>) storage tank</w:t>
            </w:r>
          </w:p>
          <w:p w:rsidR="00481FD4" w:rsidRDefault="00405508">
            <w:pPr>
              <w:pStyle w:val="Lijstalinea"/>
              <w:numPr>
                <w:ilvl w:val="0"/>
                <w:numId w:val="11"/>
              </w:numPr>
            </w:pPr>
            <w:proofErr w:type="spellStart"/>
            <w:r>
              <w:t>Washwater</w:t>
            </w:r>
            <w:proofErr w:type="spellEnd"/>
            <w:r>
              <w:t xml:space="preserve"> treatment equipment</w:t>
            </w:r>
          </w:p>
          <w:p w:rsidR="00481FD4" w:rsidRDefault="00405508">
            <w:pPr>
              <w:pStyle w:val="Lijstalinea"/>
              <w:numPr>
                <w:ilvl w:val="0"/>
                <w:numId w:val="11"/>
              </w:numPr>
            </w:pPr>
            <w:r>
              <w:t>Sludge handling equipment</w:t>
            </w:r>
          </w:p>
        </w:tc>
        <w:tc>
          <w:tcPr>
            <w:tcW w:w="2410" w:type="dxa"/>
          </w:tcPr>
          <w:p w:rsidR="00481FD4" w:rsidRDefault="00405508">
            <w:pPr>
              <w:pStyle w:val="Lijstalinea"/>
              <w:numPr>
                <w:ilvl w:val="0"/>
                <w:numId w:val="11"/>
              </w:numPr>
            </w:pPr>
            <w:r>
              <w:t>Scrubber</w:t>
            </w:r>
          </w:p>
          <w:p w:rsidR="00481FD4" w:rsidRDefault="00405508">
            <w:pPr>
              <w:pStyle w:val="Lijstalinea"/>
              <w:numPr>
                <w:ilvl w:val="0"/>
                <w:numId w:val="11"/>
              </w:numPr>
            </w:pPr>
            <w:proofErr w:type="spellStart"/>
            <w:r>
              <w:t>Washwater</w:t>
            </w:r>
            <w:proofErr w:type="spellEnd"/>
            <w:r>
              <w:t xml:space="preserve"> piping</w:t>
            </w:r>
          </w:p>
          <w:p w:rsidR="00481FD4" w:rsidRDefault="00405508">
            <w:pPr>
              <w:pStyle w:val="Lijstalinea"/>
              <w:numPr>
                <w:ilvl w:val="0"/>
                <w:numId w:val="11"/>
              </w:numPr>
            </w:pPr>
            <w:proofErr w:type="spellStart"/>
            <w:r>
              <w:t>Washwater</w:t>
            </w:r>
            <w:proofErr w:type="spellEnd"/>
            <w:r>
              <w:t xml:space="preserve"> pumps</w:t>
            </w:r>
          </w:p>
          <w:p w:rsidR="00481FD4" w:rsidRDefault="00405508">
            <w:pPr>
              <w:pStyle w:val="Lijstalinea"/>
              <w:numPr>
                <w:ilvl w:val="0"/>
                <w:numId w:val="11"/>
              </w:numPr>
            </w:pPr>
            <w:proofErr w:type="spellStart"/>
            <w:r>
              <w:t>Washwater</w:t>
            </w:r>
            <w:proofErr w:type="spellEnd"/>
            <w:r>
              <w:t xml:space="preserve"> processing tank</w:t>
            </w:r>
          </w:p>
          <w:p w:rsidR="00481FD4" w:rsidRDefault="00405508">
            <w:pPr>
              <w:pStyle w:val="Lijstalinea"/>
              <w:numPr>
                <w:ilvl w:val="0"/>
                <w:numId w:val="11"/>
              </w:numPr>
            </w:pPr>
            <w:proofErr w:type="spellStart"/>
            <w:r>
              <w:t>Washwater</w:t>
            </w:r>
            <w:proofErr w:type="spellEnd"/>
            <w:r>
              <w:t xml:space="preserve"> holding tank</w:t>
            </w:r>
          </w:p>
          <w:p w:rsidR="00481FD4" w:rsidRDefault="00405508">
            <w:pPr>
              <w:pStyle w:val="Lijstalinea"/>
              <w:numPr>
                <w:ilvl w:val="0"/>
                <w:numId w:val="11"/>
              </w:numPr>
            </w:pPr>
            <w:r>
              <w:t>Sodium hydroxide (</w:t>
            </w:r>
            <w:proofErr w:type="spellStart"/>
            <w:r>
              <w:t>NaOH</w:t>
            </w:r>
            <w:proofErr w:type="spellEnd"/>
            <w:r>
              <w:t>) storage tank</w:t>
            </w:r>
          </w:p>
          <w:p w:rsidR="00481FD4" w:rsidRDefault="00405508">
            <w:pPr>
              <w:pStyle w:val="Lijstalinea"/>
              <w:numPr>
                <w:ilvl w:val="0"/>
                <w:numId w:val="11"/>
              </w:numPr>
            </w:pPr>
            <w:proofErr w:type="spellStart"/>
            <w:r>
              <w:t>Washwater</w:t>
            </w:r>
            <w:proofErr w:type="spellEnd"/>
            <w:r>
              <w:t xml:space="preserve"> treatment equipment</w:t>
            </w:r>
          </w:p>
          <w:p w:rsidR="00481FD4" w:rsidRDefault="00405508">
            <w:pPr>
              <w:pStyle w:val="Lijstalinea"/>
              <w:numPr>
                <w:ilvl w:val="0"/>
                <w:numId w:val="11"/>
              </w:numPr>
            </w:pPr>
            <w:r>
              <w:t>Sludge handling equipment</w:t>
            </w:r>
          </w:p>
        </w:tc>
        <w:tc>
          <w:tcPr>
            <w:tcW w:w="1701" w:type="dxa"/>
          </w:tcPr>
          <w:p w:rsidR="00481FD4" w:rsidRDefault="00405508">
            <w:pPr>
              <w:pStyle w:val="Lijstalinea"/>
              <w:numPr>
                <w:ilvl w:val="0"/>
                <w:numId w:val="11"/>
              </w:numPr>
            </w:pPr>
            <w:r>
              <w:t>Absorber</w:t>
            </w:r>
          </w:p>
          <w:p w:rsidR="00481FD4" w:rsidRDefault="00405508">
            <w:pPr>
              <w:pStyle w:val="Lijstalinea"/>
              <w:numPr>
                <w:ilvl w:val="0"/>
                <w:numId w:val="11"/>
              </w:numPr>
            </w:pPr>
            <w:r>
              <w:t>Fresh granulate hopper</w:t>
            </w:r>
          </w:p>
          <w:p w:rsidR="00481FD4" w:rsidRDefault="00405508">
            <w:pPr>
              <w:pStyle w:val="Lijstalinea"/>
              <w:numPr>
                <w:ilvl w:val="0"/>
                <w:numId w:val="11"/>
              </w:numPr>
            </w:pPr>
            <w:r>
              <w:t>Used granulate hopper</w:t>
            </w:r>
          </w:p>
          <w:p w:rsidR="00481FD4" w:rsidRDefault="00405508">
            <w:pPr>
              <w:pStyle w:val="Lijstalinea"/>
              <w:numPr>
                <w:ilvl w:val="0"/>
                <w:numId w:val="11"/>
              </w:numPr>
            </w:pPr>
            <w:r>
              <w:t>Granulate transport system</w:t>
            </w:r>
          </w:p>
          <w:p w:rsidR="00481FD4" w:rsidRDefault="00405508">
            <w:pPr>
              <w:pStyle w:val="Lijstalinea"/>
              <w:numPr>
                <w:ilvl w:val="0"/>
                <w:numId w:val="11"/>
              </w:numPr>
            </w:pPr>
            <w:r>
              <w:t>Additional granulate storage (new and used granules)</w:t>
            </w:r>
          </w:p>
        </w:tc>
      </w:tr>
      <w:tr w:rsidR="00481FD4">
        <w:trPr>
          <w:gridAfter w:val="1"/>
          <w:wAfter w:w="443" w:type="dxa"/>
          <w:trHeight w:val="937"/>
        </w:trPr>
        <w:tc>
          <w:tcPr>
            <w:tcW w:w="1560" w:type="dxa"/>
          </w:tcPr>
          <w:p w:rsidR="00481FD4" w:rsidRDefault="00405508">
            <w:r>
              <w:t>Operation In Fresh Water</w:t>
            </w:r>
          </w:p>
        </w:tc>
        <w:tc>
          <w:tcPr>
            <w:tcW w:w="1984" w:type="dxa"/>
          </w:tcPr>
          <w:p w:rsidR="00481FD4" w:rsidRDefault="00405508">
            <w:pPr>
              <w:jc w:val="center"/>
            </w:pPr>
            <w:r>
              <w:t>No</w:t>
            </w:r>
          </w:p>
        </w:tc>
        <w:tc>
          <w:tcPr>
            <w:tcW w:w="2410" w:type="dxa"/>
          </w:tcPr>
          <w:p w:rsidR="00481FD4" w:rsidRDefault="00405508">
            <w:pPr>
              <w:jc w:val="center"/>
            </w:pPr>
            <w:r>
              <w:t>Yes</w:t>
            </w:r>
          </w:p>
        </w:tc>
        <w:tc>
          <w:tcPr>
            <w:tcW w:w="2410" w:type="dxa"/>
          </w:tcPr>
          <w:p w:rsidR="00481FD4" w:rsidRDefault="00405508">
            <w:pPr>
              <w:jc w:val="center"/>
            </w:pPr>
            <w:r>
              <w:t>Yes (only when operating in closed-loop mode)</w:t>
            </w:r>
          </w:p>
        </w:tc>
        <w:tc>
          <w:tcPr>
            <w:tcW w:w="1701" w:type="dxa"/>
          </w:tcPr>
          <w:p w:rsidR="00481FD4" w:rsidRDefault="00405508">
            <w:pPr>
              <w:jc w:val="center"/>
            </w:pPr>
            <w:r>
              <w:t>Yes</w:t>
            </w:r>
          </w:p>
        </w:tc>
      </w:tr>
      <w:tr w:rsidR="00481FD4">
        <w:trPr>
          <w:gridAfter w:val="1"/>
          <w:wAfter w:w="443" w:type="dxa"/>
          <w:trHeight w:val="1365"/>
        </w:trPr>
        <w:tc>
          <w:tcPr>
            <w:tcW w:w="1560" w:type="dxa"/>
          </w:tcPr>
          <w:p w:rsidR="00481FD4" w:rsidRDefault="00405508">
            <w:r>
              <w:t>Operation without discharge to Sea</w:t>
            </w:r>
          </w:p>
        </w:tc>
        <w:tc>
          <w:tcPr>
            <w:tcW w:w="1984" w:type="dxa"/>
          </w:tcPr>
          <w:p w:rsidR="00481FD4" w:rsidRDefault="00405508">
            <w:pPr>
              <w:jc w:val="center"/>
            </w:pPr>
            <w:r>
              <w:t>No</w:t>
            </w:r>
          </w:p>
        </w:tc>
        <w:tc>
          <w:tcPr>
            <w:tcW w:w="2410" w:type="dxa"/>
          </w:tcPr>
          <w:p w:rsidR="00481FD4" w:rsidRDefault="00405508">
            <w:pPr>
              <w:jc w:val="center"/>
            </w:pPr>
            <w:r>
              <w:t xml:space="preserve">For a limited time depending on the size of the </w:t>
            </w:r>
            <w:proofErr w:type="spellStart"/>
            <w:r>
              <w:t>washwater</w:t>
            </w:r>
            <w:proofErr w:type="spellEnd"/>
            <w:r>
              <w:t xml:space="preserve"> holding tank</w:t>
            </w:r>
          </w:p>
        </w:tc>
        <w:tc>
          <w:tcPr>
            <w:tcW w:w="2410" w:type="dxa"/>
          </w:tcPr>
          <w:p w:rsidR="00481FD4" w:rsidRDefault="00405508">
            <w:pPr>
              <w:jc w:val="center"/>
            </w:pPr>
            <w:r>
              <w:t xml:space="preserve">For a limited time depending on the size of the </w:t>
            </w:r>
            <w:proofErr w:type="spellStart"/>
            <w:r>
              <w:t>washwater</w:t>
            </w:r>
            <w:proofErr w:type="spellEnd"/>
            <w:r>
              <w:t xml:space="preserve"> holding tank</w:t>
            </w:r>
          </w:p>
        </w:tc>
        <w:tc>
          <w:tcPr>
            <w:tcW w:w="1701" w:type="dxa"/>
          </w:tcPr>
          <w:p w:rsidR="00481FD4" w:rsidRDefault="00405508">
            <w:pPr>
              <w:jc w:val="center"/>
            </w:pPr>
            <w:r>
              <w:t>yes</w:t>
            </w:r>
          </w:p>
        </w:tc>
      </w:tr>
      <w:tr w:rsidR="00481FD4">
        <w:trPr>
          <w:gridAfter w:val="1"/>
          <w:wAfter w:w="443" w:type="dxa"/>
          <w:trHeight w:val="3195"/>
        </w:trPr>
        <w:tc>
          <w:tcPr>
            <w:tcW w:w="1560" w:type="dxa"/>
          </w:tcPr>
          <w:p w:rsidR="00481FD4" w:rsidRDefault="00405508">
            <w:r>
              <w:t xml:space="preserve">Weight (Typical Values For A 20MW </w:t>
            </w:r>
            <w:proofErr w:type="spellStart"/>
            <w:r>
              <w:t>SOx</w:t>
            </w:r>
            <w:proofErr w:type="spellEnd"/>
            <w:r>
              <w:t xml:space="preserve"> scrubber)</w:t>
            </w:r>
          </w:p>
        </w:tc>
        <w:tc>
          <w:tcPr>
            <w:tcW w:w="1984" w:type="dxa"/>
          </w:tcPr>
          <w:p w:rsidR="00481FD4" w:rsidRDefault="00405508">
            <w:pPr>
              <w:jc w:val="center"/>
            </w:pPr>
            <w:r>
              <w:t xml:space="preserve">30 -55t (excl. </w:t>
            </w:r>
            <w:proofErr w:type="spellStart"/>
            <w:r>
              <w:t>washwater</w:t>
            </w:r>
            <w:proofErr w:type="spellEnd"/>
            <w:r>
              <w:t xml:space="preserve"> system and treatment equipment)</w:t>
            </w:r>
          </w:p>
        </w:tc>
        <w:tc>
          <w:tcPr>
            <w:tcW w:w="2410" w:type="dxa"/>
          </w:tcPr>
          <w:p w:rsidR="00481FD4" w:rsidRDefault="00405508">
            <w:pPr>
              <w:jc w:val="center"/>
            </w:pPr>
            <w:r>
              <w:t xml:space="preserve">30 -55t (excl. </w:t>
            </w:r>
            <w:proofErr w:type="spellStart"/>
            <w:r>
              <w:t>washwater</w:t>
            </w:r>
            <w:proofErr w:type="spellEnd"/>
            <w:r>
              <w:t xml:space="preserve"> system, treatment equipment, </w:t>
            </w:r>
            <w:proofErr w:type="spellStart"/>
            <w:r>
              <w:t>washwater</w:t>
            </w:r>
            <w:proofErr w:type="spellEnd"/>
            <w:r>
              <w:t xml:space="preserve"> processing tank and </w:t>
            </w:r>
            <w:proofErr w:type="spellStart"/>
            <w:r>
              <w:t>washwater</w:t>
            </w:r>
            <w:proofErr w:type="spellEnd"/>
            <w:r>
              <w:t xml:space="preserve"> holding tank)</w:t>
            </w:r>
          </w:p>
        </w:tc>
        <w:tc>
          <w:tcPr>
            <w:tcW w:w="2410" w:type="dxa"/>
          </w:tcPr>
          <w:p w:rsidR="00481FD4" w:rsidRDefault="00405508">
            <w:pPr>
              <w:jc w:val="center"/>
            </w:pPr>
            <w:r>
              <w:t xml:space="preserve">30 -55t (excl. </w:t>
            </w:r>
            <w:proofErr w:type="spellStart"/>
            <w:r>
              <w:t>washwater</w:t>
            </w:r>
            <w:proofErr w:type="spellEnd"/>
            <w:r>
              <w:t xml:space="preserve"> system, treatment equipment, </w:t>
            </w:r>
            <w:proofErr w:type="spellStart"/>
            <w:r>
              <w:t>washwater</w:t>
            </w:r>
            <w:proofErr w:type="spellEnd"/>
            <w:r>
              <w:t xml:space="preserve"> processing tank and </w:t>
            </w:r>
            <w:proofErr w:type="spellStart"/>
            <w:r>
              <w:t>washwater</w:t>
            </w:r>
            <w:proofErr w:type="spellEnd"/>
            <w:r>
              <w:t xml:space="preserve"> holding tank)</w:t>
            </w:r>
          </w:p>
        </w:tc>
        <w:tc>
          <w:tcPr>
            <w:tcW w:w="1701" w:type="dxa"/>
          </w:tcPr>
          <w:p w:rsidR="00481FD4" w:rsidRDefault="00405508">
            <w:pPr>
              <w:jc w:val="center"/>
            </w:pPr>
            <w:r>
              <w:t>≈200t (incl. granules stored adjacent to the absorber but excl. additional granulate storage)</w:t>
            </w:r>
          </w:p>
        </w:tc>
      </w:tr>
      <w:tr w:rsidR="00481FD4">
        <w:trPr>
          <w:gridAfter w:val="1"/>
          <w:wAfter w:w="443" w:type="dxa"/>
          <w:trHeight w:val="435"/>
        </w:trPr>
        <w:tc>
          <w:tcPr>
            <w:tcW w:w="1560" w:type="dxa"/>
            <w:vMerge w:val="restart"/>
          </w:tcPr>
          <w:p w:rsidR="00481FD4" w:rsidRDefault="00481FD4"/>
        </w:tc>
        <w:tc>
          <w:tcPr>
            <w:tcW w:w="6804" w:type="dxa"/>
            <w:gridSpan w:val="3"/>
          </w:tcPr>
          <w:p w:rsidR="00481FD4" w:rsidRDefault="00405508">
            <w:pPr>
              <w:jc w:val="center"/>
            </w:pPr>
            <w:r>
              <w:t>WET SCRUBBER</w:t>
            </w:r>
          </w:p>
        </w:tc>
        <w:tc>
          <w:tcPr>
            <w:tcW w:w="1701" w:type="dxa"/>
            <w:vMerge w:val="restart"/>
          </w:tcPr>
          <w:p w:rsidR="00481FD4" w:rsidRDefault="00405508">
            <w:pPr>
              <w:jc w:val="center"/>
            </w:pPr>
            <w:r>
              <w:t>DRY SCRUBBER</w:t>
            </w:r>
          </w:p>
        </w:tc>
      </w:tr>
      <w:tr w:rsidR="00481FD4">
        <w:trPr>
          <w:gridAfter w:val="1"/>
          <w:wAfter w:w="443" w:type="dxa"/>
          <w:trHeight w:val="291"/>
        </w:trPr>
        <w:tc>
          <w:tcPr>
            <w:tcW w:w="1560" w:type="dxa"/>
            <w:vMerge/>
          </w:tcPr>
          <w:p w:rsidR="00481FD4" w:rsidRDefault="00481FD4">
            <w:pPr>
              <w:jc w:val="center"/>
            </w:pPr>
          </w:p>
        </w:tc>
        <w:tc>
          <w:tcPr>
            <w:tcW w:w="1984" w:type="dxa"/>
          </w:tcPr>
          <w:p w:rsidR="00481FD4" w:rsidRDefault="00405508">
            <w:pPr>
              <w:jc w:val="center"/>
            </w:pPr>
            <w:r>
              <w:t>OPEN-LOOP</w:t>
            </w:r>
          </w:p>
        </w:tc>
        <w:tc>
          <w:tcPr>
            <w:tcW w:w="2410" w:type="dxa"/>
          </w:tcPr>
          <w:p w:rsidR="00481FD4" w:rsidRDefault="00405508">
            <w:pPr>
              <w:jc w:val="center"/>
            </w:pPr>
            <w:r>
              <w:t>CLOSED-LOOP</w:t>
            </w:r>
          </w:p>
        </w:tc>
        <w:tc>
          <w:tcPr>
            <w:tcW w:w="2410" w:type="dxa"/>
          </w:tcPr>
          <w:p w:rsidR="00481FD4" w:rsidRDefault="00405508">
            <w:pPr>
              <w:jc w:val="center"/>
            </w:pPr>
            <w:r>
              <w:t>HYBRID</w:t>
            </w:r>
          </w:p>
        </w:tc>
        <w:tc>
          <w:tcPr>
            <w:tcW w:w="1701" w:type="dxa"/>
            <w:vMerge/>
          </w:tcPr>
          <w:p w:rsidR="00481FD4" w:rsidRDefault="00481FD4">
            <w:pPr>
              <w:jc w:val="center"/>
            </w:pPr>
          </w:p>
        </w:tc>
      </w:tr>
      <w:tr w:rsidR="00481FD4">
        <w:trPr>
          <w:gridAfter w:val="1"/>
          <w:wAfter w:w="443" w:type="dxa"/>
          <w:trHeight w:val="1589"/>
        </w:trPr>
        <w:tc>
          <w:tcPr>
            <w:tcW w:w="1560" w:type="dxa"/>
          </w:tcPr>
          <w:p w:rsidR="00481FD4" w:rsidRDefault="00405508">
            <w:r>
              <w:t>Power Consumption (% Of Rated Main Engine Power)</w:t>
            </w:r>
          </w:p>
        </w:tc>
        <w:tc>
          <w:tcPr>
            <w:tcW w:w="1984" w:type="dxa"/>
          </w:tcPr>
          <w:p w:rsidR="00481FD4" w:rsidRDefault="00405508">
            <w:pPr>
              <w:jc w:val="center"/>
            </w:pPr>
            <w:r>
              <w:t>1 - 2%</w:t>
            </w:r>
          </w:p>
        </w:tc>
        <w:tc>
          <w:tcPr>
            <w:tcW w:w="2410" w:type="dxa"/>
          </w:tcPr>
          <w:p w:rsidR="00481FD4" w:rsidRDefault="00405508">
            <w:pPr>
              <w:jc w:val="center"/>
            </w:pPr>
            <w:r>
              <w:t>0.5 - 1%</w:t>
            </w:r>
          </w:p>
        </w:tc>
        <w:tc>
          <w:tcPr>
            <w:tcW w:w="2410" w:type="dxa"/>
          </w:tcPr>
          <w:p w:rsidR="00481FD4" w:rsidRDefault="00405508">
            <w:pPr>
              <w:jc w:val="center"/>
            </w:pPr>
            <w:r>
              <w:t>0.5 - 2% (depending on whether it is operating in open- or closed-loop mode)</w:t>
            </w:r>
          </w:p>
        </w:tc>
        <w:tc>
          <w:tcPr>
            <w:tcW w:w="1701" w:type="dxa"/>
          </w:tcPr>
          <w:p w:rsidR="00481FD4" w:rsidRDefault="00405508">
            <w:pPr>
              <w:jc w:val="center"/>
            </w:pPr>
            <w:r>
              <w:t>0.15 - 0.2%</w:t>
            </w:r>
          </w:p>
        </w:tc>
      </w:tr>
      <w:tr w:rsidR="00481FD4">
        <w:trPr>
          <w:gridAfter w:val="1"/>
          <w:wAfter w:w="443" w:type="dxa"/>
          <w:trHeight w:val="1529"/>
        </w:trPr>
        <w:tc>
          <w:tcPr>
            <w:tcW w:w="1560" w:type="dxa"/>
          </w:tcPr>
          <w:p w:rsidR="00481FD4" w:rsidRDefault="00405508">
            <w:r>
              <w:t>Scrubbing Chemical Consumable</w:t>
            </w:r>
          </w:p>
        </w:tc>
        <w:tc>
          <w:tcPr>
            <w:tcW w:w="1984" w:type="dxa"/>
          </w:tcPr>
          <w:p w:rsidR="00481FD4" w:rsidRDefault="00405508">
            <w:pPr>
              <w:jc w:val="center"/>
            </w:pPr>
            <w:r>
              <w:t>No consumable</w:t>
            </w:r>
          </w:p>
        </w:tc>
        <w:tc>
          <w:tcPr>
            <w:tcW w:w="2410" w:type="dxa"/>
          </w:tcPr>
          <w:p w:rsidR="00481FD4" w:rsidRDefault="00405508">
            <w:pPr>
              <w:jc w:val="center"/>
            </w:pPr>
            <w:proofErr w:type="spellStart"/>
            <w:r>
              <w:t>NaOH</w:t>
            </w:r>
            <w:proofErr w:type="spellEnd"/>
            <w:r>
              <w:t xml:space="preserve"> solution </w:t>
            </w:r>
          </w:p>
          <w:p w:rsidR="00481FD4" w:rsidRDefault="00405508">
            <w:pPr>
              <w:jc w:val="center"/>
            </w:pPr>
            <w:r>
              <w:t>(6 l/</w:t>
            </w:r>
            <w:proofErr w:type="spellStart"/>
            <w:r>
              <w:t>MWh.%S</w:t>
            </w:r>
            <w:proofErr w:type="spellEnd"/>
            <w:r>
              <w:t>)</w:t>
            </w:r>
          </w:p>
        </w:tc>
        <w:tc>
          <w:tcPr>
            <w:tcW w:w="2410" w:type="dxa"/>
          </w:tcPr>
          <w:p w:rsidR="00481FD4" w:rsidRDefault="00405508">
            <w:pPr>
              <w:jc w:val="center"/>
            </w:pPr>
            <w:proofErr w:type="spellStart"/>
            <w:r>
              <w:t>NaOH</w:t>
            </w:r>
            <w:proofErr w:type="spellEnd"/>
            <w:r>
              <w:t xml:space="preserve"> solution (only when operating in closed-loop mode)</w:t>
            </w:r>
          </w:p>
          <w:p w:rsidR="00481FD4" w:rsidRDefault="00405508">
            <w:pPr>
              <w:jc w:val="center"/>
            </w:pPr>
            <w:r>
              <w:t>(6 l/</w:t>
            </w:r>
            <w:proofErr w:type="spellStart"/>
            <w:r>
              <w:t>MWh.%S</w:t>
            </w:r>
            <w:proofErr w:type="spellEnd"/>
            <w:r>
              <w:t>)</w:t>
            </w:r>
          </w:p>
        </w:tc>
        <w:tc>
          <w:tcPr>
            <w:tcW w:w="1701" w:type="dxa"/>
          </w:tcPr>
          <w:p w:rsidR="00481FD4" w:rsidRDefault="00405508">
            <w:pPr>
              <w:jc w:val="center"/>
            </w:pPr>
            <w:r>
              <w:t>CA(OH)</w:t>
            </w:r>
            <w:r>
              <w:rPr>
                <w:vertAlign w:val="subscript"/>
              </w:rPr>
              <w:t>2</w:t>
            </w:r>
            <w:r>
              <w:t xml:space="preserve"> granules</w:t>
            </w:r>
          </w:p>
          <w:p w:rsidR="00481FD4" w:rsidRDefault="00405508">
            <w:pPr>
              <w:jc w:val="center"/>
            </w:pPr>
            <w:r>
              <w:t>(10 kg/</w:t>
            </w:r>
            <w:proofErr w:type="spellStart"/>
            <w:r>
              <w:t>MWh.%S</w:t>
            </w:r>
            <w:proofErr w:type="spellEnd"/>
            <w:r>
              <w:t>)</w:t>
            </w:r>
          </w:p>
        </w:tc>
      </w:tr>
      <w:tr w:rsidR="00481FD4">
        <w:trPr>
          <w:gridAfter w:val="1"/>
          <w:wAfter w:w="443" w:type="dxa"/>
          <w:trHeight w:val="1701"/>
        </w:trPr>
        <w:tc>
          <w:tcPr>
            <w:tcW w:w="1560" w:type="dxa"/>
          </w:tcPr>
          <w:p w:rsidR="00481FD4" w:rsidRDefault="00405508">
            <w:r>
              <w:t>Compatibility With Waste Heat Recovery System</w:t>
            </w:r>
          </w:p>
        </w:tc>
        <w:tc>
          <w:tcPr>
            <w:tcW w:w="1984" w:type="dxa"/>
          </w:tcPr>
          <w:p w:rsidR="00481FD4" w:rsidRDefault="00405508">
            <w:pPr>
              <w:jc w:val="center"/>
            </w:pPr>
            <w:r>
              <w:t>Yes, provided the scrubber is installed after the waste heat recovery system</w:t>
            </w:r>
          </w:p>
        </w:tc>
        <w:tc>
          <w:tcPr>
            <w:tcW w:w="2410" w:type="dxa"/>
          </w:tcPr>
          <w:p w:rsidR="00481FD4" w:rsidRDefault="00405508">
            <w:pPr>
              <w:jc w:val="center"/>
            </w:pPr>
            <w:r>
              <w:t>Yes, provided the scrubber is installed after the waste heat recovery system</w:t>
            </w:r>
          </w:p>
        </w:tc>
        <w:tc>
          <w:tcPr>
            <w:tcW w:w="2410" w:type="dxa"/>
          </w:tcPr>
          <w:p w:rsidR="00481FD4" w:rsidRDefault="00405508">
            <w:pPr>
              <w:jc w:val="center"/>
            </w:pPr>
            <w:r>
              <w:t>Yes, provided the scrubber is installed after the waste heat recovery system</w:t>
            </w:r>
          </w:p>
        </w:tc>
        <w:tc>
          <w:tcPr>
            <w:tcW w:w="1701" w:type="dxa"/>
          </w:tcPr>
          <w:p w:rsidR="00481FD4" w:rsidRDefault="00405508">
            <w:pPr>
              <w:jc w:val="center"/>
            </w:pPr>
            <w:r>
              <w:t>Yes. Can be placed before or after the waste heat recovery system</w:t>
            </w:r>
          </w:p>
        </w:tc>
      </w:tr>
      <w:tr w:rsidR="00481FD4">
        <w:trPr>
          <w:gridAfter w:val="1"/>
          <w:wAfter w:w="443" w:type="dxa"/>
          <w:trHeight w:val="2060"/>
        </w:trPr>
        <w:tc>
          <w:tcPr>
            <w:tcW w:w="1560" w:type="dxa"/>
          </w:tcPr>
          <w:p w:rsidR="00481FD4" w:rsidRDefault="00405508">
            <w:r>
              <w:t>Compatibility With Selective Catalytic Reduction System</w:t>
            </w:r>
          </w:p>
        </w:tc>
        <w:tc>
          <w:tcPr>
            <w:tcW w:w="1984" w:type="dxa"/>
          </w:tcPr>
          <w:p w:rsidR="00481FD4" w:rsidRDefault="00405508">
            <w:pPr>
              <w:jc w:val="center"/>
            </w:pPr>
            <w:r>
              <w:t xml:space="preserve">No, unless a </w:t>
            </w:r>
            <w:proofErr w:type="spellStart"/>
            <w:r>
              <w:t>reheater</w:t>
            </w:r>
            <w:proofErr w:type="spellEnd"/>
            <w:r>
              <w:t xml:space="preserve"> is fitted after the wet scrubber to raise the exhaust gas temperature. </w:t>
            </w:r>
          </w:p>
        </w:tc>
        <w:tc>
          <w:tcPr>
            <w:tcW w:w="2410" w:type="dxa"/>
          </w:tcPr>
          <w:p w:rsidR="00481FD4" w:rsidRDefault="00405508">
            <w:pPr>
              <w:jc w:val="center"/>
            </w:pPr>
            <w:r>
              <w:t xml:space="preserve">No, unless a </w:t>
            </w:r>
            <w:proofErr w:type="spellStart"/>
            <w:r>
              <w:t>reheater</w:t>
            </w:r>
            <w:proofErr w:type="spellEnd"/>
            <w:r>
              <w:t xml:space="preserve"> is fitted after the wet scrubber to raise the exhaust gas temperature.</w:t>
            </w:r>
          </w:p>
        </w:tc>
        <w:tc>
          <w:tcPr>
            <w:tcW w:w="2410" w:type="dxa"/>
          </w:tcPr>
          <w:p w:rsidR="00481FD4" w:rsidRDefault="00405508">
            <w:pPr>
              <w:jc w:val="center"/>
            </w:pPr>
            <w:r>
              <w:t xml:space="preserve">No, unless a </w:t>
            </w:r>
            <w:proofErr w:type="spellStart"/>
            <w:r>
              <w:t>reheater</w:t>
            </w:r>
            <w:proofErr w:type="spellEnd"/>
            <w:r>
              <w:t xml:space="preserve"> is fitted after the wet scrubber to raise the exhaust gas temperature.</w:t>
            </w:r>
          </w:p>
        </w:tc>
        <w:tc>
          <w:tcPr>
            <w:tcW w:w="1701" w:type="dxa"/>
          </w:tcPr>
          <w:p w:rsidR="00481FD4" w:rsidRDefault="00405508">
            <w:pPr>
              <w:jc w:val="center"/>
            </w:pPr>
            <w:r>
              <w:t>Yes</w:t>
            </w:r>
          </w:p>
        </w:tc>
      </w:tr>
      <w:tr w:rsidR="00481FD4">
        <w:trPr>
          <w:gridAfter w:val="1"/>
          <w:wAfter w:w="443" w:type="dxa"/>
          <w:trHeight w:val="1720"/>
        </w:trPr>
        <w:tc>
          <w:tcPr>
            <w:tcW w:w="1560" w:type="dxa"/>
          </w:tcPr>
          <w:p w:rsidR="00481FD4" w:rsidRDefault="00405508">
            <w:r>
              <w:t>Compatibility With Exhaust Gas Recirculation System</w:t>
            </w:r>
          </w:p>
        </w:tc>
        <w:tc>
          <w:tcPr>
            <w:tcW w:w="1984" w:type="dxa"/>
          </w:tcPr>
          <w:p w:rsidR="00481FD4" w:rsidRDefault="00405508">
            <w:pPr>
              <w:jc w:val="center"/>
            </w:pPr>
            <w:r>
              <w:t xml:space="preserve">Yes </w:t>
            </w:r>
          </w:p>
        </w:tc>
        <w:tc>
          <w:tcPr>
            <w:tcW w:w="2410" w:type="dxa"/>
          </w:tcPr>
          <w:p w:rsidR="00481FD4" w:rsidRDefault="00405508">
            <w:pPr>
              <w:jc w:val="center"/>
            </w:pPr>
            <w:r>
              <w:t>Yes</w:t>
            </w:r>
          </w:p>
        </w:tc>
        <w:tc>
          <w:tcPr>
            <w:tcW w:w="2410" w:type="dxa"/>
          </w:tcPr>
          <w:p w:rsidR="00481FD4" w:rsidRDefault="00405508">
            <w:pPr>
              <w:jc w:val="center"/>
            </w:pPr>
            <w:r>
              <w:t>Yes</w:t>
            </w:r>
          </w:p>
        </w:tc>
        <w:tc>
          <w:tcPr>
            <w:tcW w:w="1701" w:type="dxa"/>
          </w:tcPr>
          <w:p w:rsidR="00481FD4" w:rsidRDefault="00405508">
            <w:pPr>
              <w:jc w:val="center"/>
            </w:pPr>
            <w:r>
              <w:t>Yes</w:t>
            </w:r>
          </w:p>
        </w:tc>
      </w:tr>
      <w:tr w:rsidR="00481FD4">
        <w:trPr>
          <w:gridAfter w:val="1"/>
          <w:wAfter w:w="443" w:type="dxa"/>
          <w:trHeight w:val="577"/>
        </w:trPr>
        <w:tc>
          <w:tcPr>
            <w:tcW w:w="1560" w:type="dxa"/>
          </w:tcPr>
          <w:p w:rsidR="00481FD4" w:rsidRDefault="00405508">
            <w:r>
              <w:t>PM Removal</w:t>
            </w:r>
          </w:p>
        </w:tc>
        <w:tc>
          <w:tcPr>
            <w:tcW w:w="1984" w:type="dxa"/>
          </w:tcPr>
          <w:p w:rsidR="00481FD4" w:rsidRDefault="00405508">
            <w:pPr>
              <w:jc w:val="center"/>
            </w:pPr>
            <w:r>
              <w:t xml:space="preserve">Yes </w:t>
            </w:r>
          </w:p>
        </w:tc>
        <w:tc>
          <w:tcPr>
            <w:tcW w:w="2410" w:type="dxa"/>
          </w:tcPr>
          <w:p w:rsidR="00481FD4" w:rsidRDefault="00405508">
            <w:pPr>
              <w:jc w:val="center"/>
            </w:pPr>
            <w:r>
              <w:t>Yes</w:t>
            </w:r>
          </w:p>
        </w:tc>
        <w:tc>
          <w:tcPr>
            <w:tcW w:w="2410" w:type="dxa"/>
          </w:tcPr>
          <w:p w:rsidR="00481FD4" w:rsidRDefault="00405508">
            <w:pPr>
              <w:jc w:val="center"/>
            </w:pPr>
            <w:r>
              <w:t>Yes</w:t>
            </w:r>
          </w:p>
        </w:tc>
        <w:tc>
          <w:tcPr>
            <w:tcW w:w="1701" w:type="dxa"/>
          </w:tcPr>
          <w:p w:rsidR="00481FD4" w:rsidRDefault="00405508">
            <w:pPr>
              <w:jc w:val="center"/>
            </w:pPr>
            <w:r>
              <w:t>Yes</w:t>
            </w:r>
          </w:p>
        </w:tc>
      </w:tr>
    </w:tbl>
    <w:p w:rsidR="00481FD4" w:rsidRDefault="00405508">
      <w:pPr>
        <w:pStyle w:val="Bijschrift"/>
        <w:jc w:val="center"/>
      </w:pPr>
      <w:r>
        <w:t xml:space="preserve">Table </w:t>
      </w:r>
      <w:r w:rsidR="003352B0">
        <w:fldChar w:fldCharType="begin"/>
      </w:r>
      <w:r w:rsidR="004D4B90">
        <w:instrText xml:space="preserve"> SEQ Tabel \* ARABIC </w:instrText>
      </w:r>
      <w:r w:rsidR="003352B0">
        <w:fldChar w:fldCharType="separate"/>
      </w:r>
      <w:r>
        <w:rPr>
          <w:noProof/>
        </w:rPr>
        <w:t>5</w:t>
      </w:r>
      <w:r w:rsidR="003352B0">
        <w:rPr>
          <w:noProof/>
        </w:rPr>
        <w:fldChar w:fldCharType="end"/>
      </w:r>
      <w:r>
        <w:t xml:space="preserve">: Comparison between wet and dry scrubbers </w:t>
      </w:r>
      <w:sdt>
        <w:sdtPr>
          <w:id w:val="5382617"/>
          <w:citation/>
        </w:sdtPr>
        <w:sdtContent>
          <w:r w:rsidR="003352B0">
            <w:fldChar w:fldCharType="begin"/>
          </w:r>
          <w:r w:rsidR="004D4B90">
            <w:instrText xml:space="preserve"> CITATION Cat15 \l 2067 </w:instrText>
          </w:r>
          <w:r w:rsidR="003352B0">
            <w:fldChar w:fldCharType="separate"/>
          </w:r>
          <w:r>
            <w:rPr>
              <w:noProof/>
            </w:rPr>
            <w:t>(Austin, 2015)</w:t>
          </w:r>
          <w:r w:rsidR="003352B0">
            <w:rPr>
              <w:noProof/>
            </w:rPr>
            <w:fldChar w:fldCharType="end"/>
          </w:r>
        </w:sdtContent>
      </w:sdt>
      <w:r>
        <w:t>.</w:t>
      </w:r>
    </w:p>
    <w:p w:rsidR="00481FD4" w:rsidRDefault="00481FD4"/>
    <w:p w:rsidR="00481FD4" w:rsidRDefault="00405508">
      <w:pPr>
        <w:rPr>
          <w:rFonts w:asciiTheme="majorHAnsi" w:eastAsiaTheme="majorEastAsia" w:hAnsiTheme="majorHAnsi" w:cstheme="majorBidi"/>
          <w:b/>
          <w:bCs/>
          <w:color w:val="4F81BD" w:themeColor="accent1"/>
        </w:rPr>
      </w:pPr>
      <w:r>
        <w:br w:type="page"/>
      </w:r>
    </w:p>
    <w:p w:rsidR="00481FD4" w:rsidRDefault="00405508">
      <w:pPr>
        <w:pStyle w:val="Kop2"/>
      </w:pPr>
      <w:bookmarkStart w:id="11" w:name="_Toc455838053"/>
      <w:r>
        <w:lastRenderedPageBreak/>
        <w:t>2.6 Advantages and Disadvantages of the Scrubber systems</w:t>
      </w:r>
      <w:bookmarkEnd w:id="11"/>
    </w:p>
    <w:p w:rsidR="00481FD4" w:rsidRDefault="00405508">
      <w:pPr>
        <w:jc w:val="both"/>
      </w:pPr>
      <w:r>
        <w:t>There are a lot of differences between the several systems. A summary of the systems advantages and disadvantages is given below and is more explained where necessary. Based on these 'drivers and barriers' the most suitable scrubber system f</w:t>
      </w:r>
      <w:r w:rsidR="001D12A2">
        <w:t>or CFL worldwide sailing vessel</w:t>
      </w:r>
      <w:r>
        <w:t xml:space="preserve"> type Sole 10.000 will be made. </w:t>
      </w:r>
    </w:p>
    <w:p w:rsidR="00481FD4" w:rsidRDefault="00405508">
      <w:pPr>
        <w:pStyle w:val="Kop3"/>
      </w:pPr>
      <w:bookmarkStart w:id="12" w:name="_Toc455838054"/>
      <w:r>
        <w:t>2.6.1 Dry Scrubbers</w:t>
      </w:r>
      <w:bookmarkEnd w:id="12"/>
    </w:p>
    <w:p w:rsidR="00481FD4" w:rsidRDefault="00405508">
      <w:pPr>
        <w:jc w:val="both"/>
      </w:pPr>
      <w:r>
        <w:t xml:space="preserve">The main advantage of this system is its negligible energy consumption. Although simple to operate, they are less common in the marine industry. In addition to the fresh granulate, the used granulate must also be stored onboard prior to onshore disposal, which means considerable extra weight and large space requirements. </w:t>
      </w:r>
    </w:p>
    <w:p w:rsidR="00481FD4" w:rsidRDefault="00405508">
      <w:pPr>
        <w:jc w:val="both"/>
      </w:pPr>
      <w:r>
        <w:t xml:space="preserve">Kindly note, there is these days no supplier of dry scrubber installations. The only known manufacturer 'Couple </w:t>
      </w:r>
      <w:r w:rsidR="00AA1353">
        <w:t xml:space="preserve">Systems' does not longer exist. </w:t>
      </w:r>
      <w:r>
        <w:t>This system will not be further discussed during this research.</w:t>
      </w:r>
    </w:p>
    <w:p w:rsidR="00481FD4" w:rsidRDefault="00405508">
      <w:pPr>
        <w:pStyle w:val="Kop3"/>
      </w:pPr>
      <w:bookmarkStart w:id="13" w:name="_Toc455838055"/>
      <w:r>
        <w:t>2.6.2 Open-loop (Seawater) Scrubber</w:t>
      </w:r>
      <w:bookmarkEnd w:id="13"/>
    </w:p>
    <w:p w:rsidR="00481FD4" w:rsidRDefault="00405508">
      <w:pPr>
        <w:jc w:val="both"/>
      </w:pPr>
      <w:r>
        <w:t>The open-loop scrubber is the most basic scrubber system. The main advantage compared to a closed-loop system is that you do not need to cool the scrubbing water and no chemicals need to be added.</w:t>
      </w:r>
    </w:p>
    <w:p w:rsidR="00481FD4" w:rsidRDefault="00405508">
      <w:pPr>
        <w:jc w:val="both"/>
      </w:pPr>
      <w:r>
        <w:t xml:space="preserve">The disadvantage of this open-loop system is that you are entirely depending on the seawaters alkalinity for the system performance. If the alkalinity is high enough there will not be any problem at all. When sailing in areas with brackish or fresh water, problems might start to occur because of a too low alkalinity of the </w:t>
      </w:r>
      <w:proofErr w:type="spellStart"/>
      <w:r>
        <w:t>washwater</w:t>
      </w:r>
      <w:proofErr w:type="spellEnd"/>
      <w:r>
        <w:t xml:space="preserve"> and IMO limits might not be reached </w:t>
      </w:r>
      <w:sdt>
        <w:sdtPr>
          <w:id w:val="94334035"/>
          <w:citation/>
        </w:sdtPr>
        <w:sdtContent>
          <w:r w:rsidR="003352B0">
            <w:fldChar w:fldCharType="begin"/>
          </w:r>
          <w:r>
            <w:rPr>
              <w:lang w:val="en-GB"/>
            </w:rPr>
            <w:instrText xml:space="preserve"> CITATION Boy14 \l 2067 </w:instrText>
          </w:r>
          <w:r w:rsidR="003352B0">
            <w:fldChar w:fldCharType="separate"/>
          </w:r>
          <w:r>
            <w:rPr>
              <w:noProof/>
              <w:lang w:val="en-GB"/>
            </w:rPr>
            <w:t>(Brouwer, 2014)</w:t>
          </w:r>
          <w:r w:rsidR="003352B0">
            <w:fldChar w:fldCharType="end"/>
          </w:r>
        </w:sdtContent>
      </w:sdt>
      <w:r>
        <w:t>.</w:t>
      </w:r>
    </w:p>
    <w:p w:rsidR="00481FD4" w:rsidRDefault="00397171">
      <w:pPr>
        <w:jc w:val="both"/>
      </w:pPr>
      <w:r>
        <w:t>“</w:t>
      </w:r>
      <w:r w:rsidR="00405508">
        <w:t xml:space="preserve">Combined with the required pressure for the highly placed scrubber, the power needed for scrubbing is a running cost that cannot be ignored.  In certain cases, in areas where the seawater alkalinity is too low or restricted outlet criteria are in force, the system cannot be used. The addition of </w:t>
      </w:r>
      <w:proofErr w:type="spellStart"/>
      <w:r w:rsidR="00405508">
        <w:t>NaOH</w:t>
      </w:r>
      <w:proofErr w:type="spellEnd"/>
      <w:r w:rsidR="00405508">
        <w:t xml:space="preserve"> to the </w:t>
      </w:r>
      <w:proofErr w:type="spellStart"/>
      <w:r w:rsidR="00405508">
        <w:t>washwater</w:t>
      </w:r>
      <w:proofErr w:type="spellEnd"/>
      <w:r w:rsidR="00405508">
        <w:t xml:space="preserve"> or running on low </w:t>
      </w:r>
      <w:proofErr w:type="spellStart"/>
      <w:r w:rsidR="00405508">
        <w:t>sulphur</w:t>
      </w:r>
      <w:proofErr w:type="spellEnd"/>
      <w:r w:rsidR="00405508">
        <w:t xml:space="preserve"> will be required</w:t>
      </w:r>
      <w:r>
        <w:t>”</w:t>
      </w:r>
      <w:r w:rsidR="00405508">
        <w:t xml:space="preserve"> </w:t>
      </w:r>
      <w:sdt>
        <w:sdtPr>
          <w:id w:val="94334036"/>
          <w:citation/>
        </w:sdtPr>
        <w:sdtContent>
          <w:r w:rsidR="003352B0">
            <w:fldChar w:fldCharType="begin"/>
          </w:r>
          <w:r w:rsidR="004D4B90">
            <w:instrText xml:space="preserve"> CITATION Pan14 \l 2067  </w:instrText>
          </w:r>
          <w:r w:rsidR="003352B0">
            <w:fldChar w:fldCharType="separate"/>
          </w:r>
          <w:r w:rsidR="00405508">
            <w:rPr>
              <w:noProof/>
            </w:rPr>
            <w:t>(Panasiuk I. , 2014)</w:t>
          </w:r>
          <w:r w:rsidR="003352B0">
            <w:rPr>
              <w:noProof/>
            </w:rPr>
            <w:fldChar w:fldCharType="end"/>
          </w:r>
        </w:sdtContent>
      </w:sdt>
      <w:r w:rsidR="00405508">
        <w:t xml:space="preserve">.  </w:t>
      </w:r>
    </w:p>
    <w:p w:rsidR="00481FD4" w:rsidRDefault="00405508">
      <w:pPr>
        <w:pStyle w:val="Kop3"/>
      </w:pPr>
      <w:bookmarkStart w:id="14" w:name="_Toc455838056"/>
      <w:r>
        <w:t>2.6.3 Closed-loop (Freshwater) Scrubber</w:t>
      </w:r>
      <w:bookmarkEnd w:id="14"/>
    </w:p>
    <w:p w:rsidR="00481FD4" w:rsidRDefault="00405508">
      <w:pPr>
        <w:jc w:val="both"/>
      </w:pPr>
      <w:r>
        <w:t xml:space="preserve">The closed-loop scrubber system uses fresh water instead of seawater during the scrubbing process. Still the seawater is used to cool the </w:t>
      </w:r>
      <w:proofErr w:type="spellStart"/>
      <w:r>
        <w:t>washwater</w:t>
      </w:r>
      <w:proofErr w:type="spellEnd"/>
      <w:r>
        <w:t xml:space="preserve">. Instead of the seawaters salinity, the fresh water characteristics do not change at all while sailing. This makes the system much easier to operate. </w:t>
      </w:r>
    </w:p>
    <w:p w:rsidR="00481FD4" w:rsidRDefault="00405508">
      <w:pPr>
        <w:jc w:val="both"/>
      </w:pPr>
      <w:r>
        <w:t xml:space="preserve">The systems main advantage, compared to the open-loop system, is that the system can always be used because the alkalinity of the </w:t>
      </w:r>
      <w:proofErr w:type="spellStart"/>
      <w:r>
        <w:t>washwater</w:t>
      </w:r>
      <w:proofErr w:type="spellEnd"/>
      <w:r>
        <w:t xml:space="preserve"> can be controlled very easily with the </w:t>
      </w:r>
      <w:proofErr w:type="spellStart"/>
      <w:r>
        <w:t>NaOH</w:t>
      </w:r>
      <w:proofErr w:type="spellEnd"/>
      <w:r>
        <w:t xml:space="preserve"> (Sodium Hydroxide/Caustic Soda) unit</w:t>
      </w:r>
      <w:sdt>
        <w:sdtPr>
          <w:id w:val="94334037"/>
          <w:citation/>
        </w:sdtPr>
        <w:sdtContent>
          <w:r w:rsidR="003352B0">
            <w:fldChar w:fldCharType="begin"/>
          </w:r>
          <w:r w:rsidR="004D4B90">
            <w:instrText xml:space="preserve"> CITATION Boy14 \l 2067 </w:instrText>
          </w:r>
          <w:r w:rsidR="003352B0">
            <w:fldChar w:fldCharType="separate"/>
          </w:r>
          <w:r>
            <w:rPr>
              <w:noProof/>
            </w:rPr>
            <w:t xml:space="preserve"> (Brouwer, 2014)</w:t>
          </w:r>
          <w:r w:rsidR="003352B0">
            <w:rPr>
              <w:noProof/>
            </w:rPr>
            <w:fldChar w:fldCharType="end"/>
          </w:r>
        </w:sdtContent>
      </w:sdt>
      <w:r>
        <w:t xml:space="preserve">. </w:t>
      </w:r>
    </w:p>
    <w:p w:rsidR="00481FD4" w:rsidRDefault="00405508">
      <w:pPr>
        <w:jc w:val="both"/>
      </w:pPr>
      <w:r>
        <w:lastRenderedPageBreak/>
        <w:t xml:space="preserve">The fact that this system is reusing the most of the washing water, so it is only need to treat a small amount of the </w:t>
      </w:r>
      <w:proofErr w:type="spellStart"/>
      <w:r>
        <w:t>washwater</w:t>
      </w:r>
      <w:proofErr w:type="spellEnd"/>
      <w:r>
        <w:t xml:space="preserve"> before it can be discharged, is also a big advantage of this scrubber system.</w:t>
      </w:r>
    </w:p>
    <w:p w:rsidR="00481FD4" w:rsidRDefault="00405508">
      <w:pPr>
        <w:jc w:val="both"/>
      </w:pPr>
      <w:r>
        <w:t>On the other hand, is the closed-loop scrubber system more complex compared to that of the open-loop scrubber system because a water treatment system is required. Next to the scrubber himself, the necessary equipment includes caustic soda, circulation and sludge tanks, pumping and freshwater cooling systems and a waste control unit. An alternative to the waste control unit could be a holding tank to store the bleed-off water for discharge in port. The scrubber water flow is significantly reduced as the scrubbing efficiency using the closed-loop is high compared to open-loop systems. Due to reduced flow, the dimensions of inlet and outlet pipes are reduced. The running cost of the closed-loop system is higher compared to open-loop systems, mainly because of the addition of chemicals in the process. However the closed-loop system can be used in any area without any restrictions</w:t>
      </w:r>
      <w:sdt>
        <w:sdtPr>
          <w:id w:val="94334038"/>
          <w:citation/>
        </w:sdtPr>
        <w:sdtContent>
          <w:r w:rsidR="003352B0">
            <w:fldChar w:fldCharType="begin"/>
          </w:r>
          <w:r w:rsidR="004D4B90">
            <w:instrText xml:space="preserve"> CITATION Pan14 \l 2067  </w:instrText>
          </w:r>
          <w:r w:rsidR="003352B0">
            <w:fldChar w:fldCharType="separate"/>
          </w:r>
          <w:r>
            <w:rPr>
              <w:noProof/>
            </w:rPr>
            <w:t xml:space="preserve"> (Panasiuk I. , 2014)</w:t>
          </w:r>
          <w:r w:rsidR="003352B0">
            <w:rPr>
              <w:noProof/>
            </w:rPr>
            <w:fldChar w:fldCharType="end"/>
          </w:r>
        </w:sdtContent>
      </w:sdt>
      <w:r>
        <w:t xml:space="preserve">. </w:t>
      </w:r>
    </w:p>
    <w:p w:rsidR="00481FD4" w:rsidRDefault="00405508">
      <w:pPr>
        <w:jc w:val="both"/>
      </w:pPr>
      <w:r>
        <w:t>Kindly note that fresh water will be consumed due to evaporation losses and the discharge</w:t>
      </w:r>
      <w:r w:rsidR="00397171">
        <w:t xml:space="preserve"> of the saturated water. This</w:t>
      </w:r>
      <w:r>
        <w:t xml:space="preserve"> all depends on the ambient conditions. At low seawater temperature, a low ambient temperature, a relative humidity of 80% and a main engine that is most of the time running at 80% MCR,  the freshwater consumption can be calculated as follows </w:t>
      </w:r>
      <w:sdt>
        <w:sdtPr>
          <w:id w:val="94334039"/>
          <w:citation/>
        </w:sdtPr>
        <w:sdtContent>
          <w:r w:rsidR="003352B0">
            <w:fldChar w:fldCharType="begin"/>
          </w:r>
          <w:r w:rsidR="004D4B90">
            <w:instrText xml:space="preserve"> CITATION Boy14 \l 2067 </w:instrText>
          </w:r>
          <w:r w:rsidR="003352B0">
            <w:fldChar w:fldCharType="separate"/>
          </w:r>
          <w:r>
            <w:rPr>
              <w:noProof/>
            </w:rPr>
            <w:t>(Brouwer, 2014)</w:t>
          </w:r>
          <w:r w:rsidR="003352B0">
            <w:rPr>
              <w:noProof/>
            </w:rPr>
            <w:fldChar w:fldCharType="end"/>
          </w:r>
        </w:sdtContent>
      </w:sdt>
      <w:r>
        <w:t>:</w:t>
      </w:r>
      <w:r>
        <w:tab/>
        <w:t>0.05 x [MW] = consumption (m³/hr)</w:t>
      </w:r>
    </w:p>
    <w:p w:rsidR="00481FD4" w:rsidRDefault="00405508">
      <w:pPr>
        <w:pStyle w:val="Kop3"/>
      </w:pPr>
      <w:bookmarkStart w:id="15" w:name="_Toc455838057"/>
      <w:r>
        <w:t>2.6.4 Caustic Soda Solution</w:t>
      </w:r>
      <w:bookmarkEnd w:id="15"/>
    </w:p>
    <w:p w:rsidR="00481FD4" w:rsidRDefault="00405508">
      <w:pPr>
        <w:jc w:val="both"/>
      </w:pPr>
      <w:r>
        <w:t>The closed-loop scrubber system uses an Alkali-unit which doses a caustic soda solution (</w:t>
      </w:r>
      <w:proofErr w:type="spellStart"/>
      <w:r>
        <w:t>NaOH</w:t>
      </w:r>
      <w:proofErr w:type="spellEnd"/>
      <w:r>
        <w:t xml:space="preserve"> 50%) into the system to monitor the alkalinity of the washing water. The high ph of the sodium hydroxide helps to neutralize the acid products and maintains its base properties while </w:t>
      </w:r>
      <w:proofErr w:type="spellStart"/>
      <w:r>
        <w:t>sulphur</w:t>
      </w:r>
      <w:proofErr w:type="spellEnd"/>
      <w:r>
        <w:t xml:space="preserve"> oxides are being dissolved into the </w:t>
      </w:r>
      <w:proofErr w:type="spellStart"/>
      <w:r>
        <w:t>washwater</w:t>
      </w:r>
      <w:proofErr w:type="spellEnd"/>
      <w:r>
        <w:t xml:space="preserve">. In Table 6 and Figure 4, the properties of the </w:t>
      </w:r>
      <w:proofErr w:type="spellStart"/>
      <w:r>
        <w:t>NaOH</w:t>
      </w:r>
      <w:proofErr w:type="spellEnd"/>
      <w:r>
        <w:t xml:space="preserve"> solution are stated. </w:t>
      </w:r>
    </w:p>
    <w:p w:rsidR="00481FD4" w:rsidRDefault="00481FD4">
      <w:pPr>
        <w:jc w:val="both"/>
      </w:pPr>
    </w:p>
    <w:p w:rsidR="00481FD4" w:rsidRDefault="00405508">
      <w:pPr>
        <w:keepNext/>
        <w:jc w:val="center"/>
      </w:pPr>
      <w:r>
        <w:rPr>
          <w:noProof/>
          <w:lang w:val="nl-BE" w:eastAsia="nl-BE"/>
        </w:rPr>
        <w:drawing>
          <wp:inline distT="0" distB="0" distL="0" distR="0">
            <wp:extent cx="5799859" cy="1745861"/>
            <wp:effectExtent l="19050" t="0" r="0" b="0"/>
            <wp:docPr id="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834824" cy="1756386"/>
                    </a:xfrm>
                    <a:prstGeom prst="rect">
                      <a:avLst/>
                    </a:prstGeom>
                    <a:noFill/>
                    <a:ln w="9525">
                      <a:noFill/>
                      <a:miter lim="800000"/>
                      <a:headEnd/>
                      <a:tailEnd/>
                    </a:ln>
                  </pic:spPr>
                </pic:pic>
              </a:graphicData>
            </a:graphic>
          </wp:inline>
        </w:drawing>
      </w:r>
    </w:p>
    <w:p w:rsidR="00481FD4" w:rsidRDefault="00405508">
      <w:pPr>
        <w:pStyle w:val="Bijschrift"/>
        <w:jc w:val="center"/>
      </w:pPr>
      <w:r>
        <w:t xml:space="preserve">Table </w:t>
      </w:r>
      <w:r w:rsidR="003352B0">
        <w:fldChar w:fldCharType="begin"/>
      </w:r>
      <w:r w:rsidR="004D4B90">
        <w:instrText xml:space="preserve"> SEQ Tabel \* ARABIC </w:instrText>
      </w:r>
      <w:r w:rsidR="003352B0">
        <w:fldChar w:fldCharType="separate"/>
      </w:r>
      <w:r>
        <w:rPr>
          <w:noProof/>
        </w:rPr>
        <w:t>6</w:t>
      </w:r>
      <w:r w:rsidR="003352B0">
        <w:rPr>
          <w:noProof/>
        </w:rPr>
        <w:fldChar w:fldCharType="end"/>
      </w:r>
      <w:r>
        <w:t xml:space="preserve">: Material Properties of the consumed </w:t>
      </w:r>
      <w:proofErr w:type="spellStart"/>
      <w:r>
        <w:t>NaOH</w:t>
      </w:r>
      <w:proofErr w:type="spellEnd"/>
      <w:sdt>
        <w:sdtPr>
          <w:id w:val="94334042"/>
          <w:citation/>
        </w:sdtPr>
        <w:sdtContent>
          <w:r w:rsidR="003352B0">
            <w:fldChar w:fldCharType="begin"/>
          </w:r>
          <w:r w:rsidR="004D4B90">
            <w:instrText xml:space="preserve"> CITATION Vin16 \l 2067  </w:instrText>
          </w:r>
          <w:r w:rsidR="003352B0">
            <w:fldChar w:fldCharType="separate"/>
          </w:r>
          <w:r>
            <w:rPr>
              <w:noProof/>
            </w:rPr>
            <w:t xml:space="preserve"> (GmbH&amp;Ko, 2011)</w:t>
          </w:r>
          <w:r w:rsidR="003352B0">
            <w:rPr>
              <w:noProof/>
            </w:rPr>
            <w:fldChar w:fldCharType="end"/>
          </w:r>
        </w:sdtContent>
      </w:sdt>
    </w:p>
    <w:p w:rsidR="00481FD4" w:rsidRDefault="00481FD4"/>
    <w:p w:rsidR="00481FD4" w:rsidRDefault="00405508">
      <w:pPr>
        <w:keepNext/>
        <w:jc w:val="center"/>
      </w:pPr>
      <w:r>
        <w:rPr>
          <w:noProof/>
          <w:lang w:val="nl-BE" w:eastAsia="nl-BE"/>
        </w:rPr>
        <w:lastRenderedPageBreak/>
        <w:drawing>
          <wp:inline distT="0" distB="0" distL="0" distR="0">
            <wp:extent cx="5521674" cy="2954690"/>
            <wp:effectExtent l="19050" t="0" r="2826" b="0"/>
            <wp:docPr id="2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542833" cy="2966013"/>
                    </a:xfrm>
                    <a:prstGeom prst="rect">
                      <a:avLst/>
                    </a:prstGeom>
                    <a:noFill/>
                    <a:ln w="9525">
                      <a:noFill/>
                      <a:miter lim="800000"/>
                      <a:headEnd/>
                      <a:tailEnd/>
                    </a:ln>
                  </pic:spPr>
                </pic:pic>
              </a:graphicData>
            </a:graphic>
          </wp:inline>
        </w:drawing>
      </w:r>
      <w:r w:rsidRPr="00A32A9D">
        <w:rPr>
          <w:noProof/>
          <w:lang w:eastAsia="nl-BE"/>
        </w:rPr>
        <w:t xml:space="preserve"> </w:t>
      </w:r>
    </w:p>
    <w:p w:rsidR="00481FD4" w:rsidRDefault="00405508">
      <w:pPr>
        <w:pStyle w:val="Bijschrift"/>
        <w:jc w:val="center"/>
      </w:pPr>
      <w:r>
        <w:t>Figure 4: Dynamic viscosity of various Caustic Soda Solutions as a function of temperature</w:t>
      </w:r>
      <w:sdt>
        <w:sdtPr>
          <w:id w:val="94334043"/>
          <w:citation/>
        </w:sdtPr>
        <w:sdtContent>
          <w:r w:rsidR="003352B0">
            <w:fldChar w:fldCharType="begin"/>
          </w:r>
          <w:r w:rsidR="004D4B90">
            <w:instrText xml:space="preserve"> CITATION Vin16 \l 2067  </w:instrText>
          </w:r>
          <w:r w:rsidR="003352B0">
            <w:fldChar w:fldCharType="separate"/>
          </w:r>
          <w:r>
            <w:rPr>
              <w:noProof/>
            </w:rPr>
            <w:t xml:space="preserve"> (GmbH&amp;Ko, 2011)</w:t>
          </w:r>
          <w:r w:rsidR="003352B0">
            <w:rPr>
              <w:noProof/>
            </w:rPr>
            <w:fldChar w:fldCharType="end"/>
          </w:r>
        </w:sdtContent>
      </w:sdt>
    </w:p>
    <w:p w:rsidR="00481FD4" w:rsidRDefault="00481FD4">
      <w:pPr>
        <w:jc w:val="both"/>
      </w:pPr>
    </w:p>
    <w:p w:rsidR="00405508" w:rsidRDefault="00405508">
      <w:pPr>
        <w:jc w:val="both"/>
      </w:pPr>
      <w:r>
        <w:t>As this substance has a low freezing point of about 12°C and a high viscosity at 20°C, it should be heated while stored onboard to be transferable at all times. The consumption of the caustic soda solution (1,5MT/day</w:t>
      </w:r>
      <w:sdt>
        <w:sdtPr>
          <w:id w:val="94334044"/>
          <w:citation/>
        </w:sdtPr>
        <w:sdtContent>
          <w:r w:rsidR="003352B0">
            <w:fldChar w:fldCharType="begin"/>
          </w:r>
          <w:r w:rsidR="004D4B90">
            <w:instrText xml:space="preserve"> CITATION Alf15 \l 2067 </w:instrText>
          </w:r>
          <w:r w:rsidR="003352B0">
            <w:fldChar w:fldCharType="separate"/>
          </w:r>
          <w:r>
            <w:rPr>
              <w:noProof/>
            </w:rPr>
            <w:t xml:space="preserve"> (Laval, 2015)</w:t>
          </w:r>
          <w:r w:rsidR="003352B0">
            <w:rPr>
              <w:noProof/>
            </w:rPr>
            <w:fldChar w:fldCharType="end"/>
          </w:r>
        </w:sdtContent>
      </w:sdt>
      <w:r>
        <w:t>) is a running cost of the closed-loop system, about 400$/MT, which must also be taken into account when calculating the ROI of the system.</w:t>
      </w:r>
    </w:p>
    <w:p w:rsidR="00481FD4" w:rsidRDefault="00405508">
      <w:pPr>
        <w:pStyle w:val="Kop3"/>
      </w:pPr>
      <w:bookmarkStart w:id="16" w:name="_Toc455838058"/>
      <w:r>
        <w:t>2.6.5 Hybrid Scrubber</w:t>
      </w:r>
      <w:bookmarkEnd w:id="16"/>
    </w:p>
    <w:p w:rsidR="00405508" w:rsidRDefault="00405508">
      <w:pPr>
        <w:jc w:val="both"/>
      </w:pPr>
      <w:r>
        <w:t xml:space="preserve">The hybrid system combines the low running costs of the open-loop system and the flexibility provided by the closed-loop system. The combination of the systems results in a higher price and more space is needed for the installation of the equipment. The combination of a closed-loop system and an exhaust gas bypass can easily replace the flexibility of the hybrid. </w:t>
      </w:r>
    </w:p>
    <w:p w:rsidR="00481FD4" w:rsidRDefault="00405508">
      <w:pPr>
        <w:pStyle w:val="Kop3"/>
      </w:pPr>
      <w:bookmarkStart w:id="17" w:name="_Toc455838059"/>
      <w:r>
        <w:t>2.6.6 Single Stream Scrubber</w:t>
      </w:r>
      <w:bookmarkEnd w:id="17"/>
    </w:p>
    <w:p w:rsidR="00481FD4" w:rsidRDefault="00405508">
      <w:pPr>
        <w:jc w:val="both"/>
      </w:pPr>
      <w:r>
        <w:t>As the oil fired burner and both auxiliary engines are consuming MGO, the main engine</w:t>
      </w:r>
      <w:r w:rsidR="00A37B24">
        <w:t xml:space="preserve"> with his shaft generator is </w:t>
      </w:r>
      <w:r>
        <w:t>the only HFO consumer</w:t>
      </w:r>
      <w:r w:rsidR="00A37B24">
        <w:t xml:space="preserve"> onboard</w:t>
      </w:r>
      <w:r>
        <w:t xml:space="preserve">. Hence it follows that a single stream scrubber design will be installed in the funnel to scrub the exhaust gas stream of the main engine. </w:t>
      </w:r>
    </w:p>
    <w:p w:rsidR="00481FD4" w:rsidRDefault="00481FD4">
      <w:pPr>
        <w:jc w:val="both"/>
      </w:pPr>
    </w:p>
    <w:p w:rsidR="00405508" w:rsidRDefault="00405508">
      <w:pPr>
        <w:rPr>
          <w:rFonts w:asciiTheme="majorHAnsi" w:eastAsiaTheme="majorEastAsia" w:hAnsiTheme="majorHAnsi" w:cstheme="majorBidi"/>
          <w:b/>
          <w:bCs/>
          <w:color w:val="4F81BD" w:themeColor="accent1"/>
        </w:rPr>
      </w:pPr>
      <w:r>
        <w:br w:type="page"/>
      </w:r>
    </w:p>
    <w:p w:rsidR="00481FD4" w:rsidRDefault="00405508">
      <w:pPr>
        <w:pStyle w:val="Kop3"/>
      </w:pPr>
      <w:bookmarkStart w:id="18" w:name="_Toc455838060"/>
      <w:r>
        <w:lastRenderedPageBreak/>
        <w:t>2.6.7 Exhaust Gas Bypass</w:t>
      </w:r>
      <w:bookmarkEnd w:id="18"/>
    </w:p>
    <w:p w:rsidR="00481FD4" w:rsidRDefault="00405508">
      <w:pPr>
        <w:jc w:val="both"/>
      </w:pPr>
      <w:r>
        <w:t>An exhaust gas</w:t>
      </w:r>
      <w:r w:rsidR="00A37B24">
        <w:t xml:space="preserve"> bypass</w:t>
      </w:r>
      <w:r>
        <w:t xml:space="preserve"> controls the direction of the exhaust flow between the scrubber and atmosphere. Unless made with suitable materials for the high exhaust temperatures, wet scrubbers are normally not recommended to be operated dry, i.e. operated with exhaust gas passing through them without </w:t>
      </w:r>
      <w:proofErr w:type="spellStart"/>
      <w:r>
        <w:t>washwater</w:t>
      </w:r>
      <w:proofErr w:type="spellEnd"/>
      <w:r>
        <w:t xml:space="preserve"> flowing. A separate bypass will not be required for scrubbers which are suitable for dry operation, which saves even more space and weight. </w:t>
      </w:r>
    </w:p>
    <w:p w:rsidR="00481FD4" w:rsidRDefault="00405508">
      <w:pPr>
        <w:jc w:val="both"/>
      </w:pPr>
      <w:r>
        <w:t xml:space="preserve">For most scrubbers fitting a bypass is a requirement if there is a need to be able to operate the equipment connected to the scrubber when the scrubber is non-operational for any reason. This would apply to engines and boilers considered essential services of a vessel. When the scrubber is not needed, such as when the ship is outside an ECA, the exhaust bypass can be used and the scrubber shut down, saving electric power consumption. </w:t>
      </w:r>
    </w:p>
    <w:p w:rsidR="00481FD4" w:rsidRDefault="00405508">
      <w:pPr>
        <w:jc w:val="both"/>
      </w:pPr>
      <w:r>
        <w:t xml:space="preserve">Bypass exhaust pipes are as large as the original exhaust pipe and the required space in the engine exhaust system casing for the bypass pipe and the bypass valve can be large. The bypass pipe normally passes alongside the scrubber and requires a separate exhaust outlet at the top of the funnel in addition to the scrubber outlet. </w:t>
      </w:r>
    </w:p>
    <w:p w:rsidR="00481FD4" w:rsidRDefault="00397171">
      <w:pPr>
        <w:jc w:val="both"/>
      </w:pPr>
      <w:r>
        <w:t>“</w:t>
      </w:r>
      <w:r w:rsidR="00405508">
        <w:t>Where the valve is a two-damper design, an interlock would be required to prevent both dampers from being closed at the same time (see Figure 3). Exhaust bypass valves may require frequent maintenance because of the hot gas environment and soot accumulation that occurs</w:t>
      </w:r>
      <w:r>
        <w:t>”</w:t>
      </w:r>
      <w:r w:rsidR="00405508">
        <w:t xml:space="preserve"> </w:t>
      </w:r>
      <w:sdt>
        <w:sdtPr>
          <w:id w:val="94334040"/>
          <w:citation/>
        </w:sdtPr>
        <w:sdtContent>
          <w:r w:rsidR="003352B0">
            <w:fldChar w:fldCharType="begin"/>
          </w:r>
          <w:r w:rsidR="004D4B90">
            <w:instrText xml:space="preserve"> CITATION ABS13 \l 2067 </w:instrText>
          </w:r>
          <w:r w:rsidR="003352B0">
            <w:fldChar w:fldCharType="separate"/>
          </w:r>
          <w:r w:rsidR="00405508">
            <w:rPr>
              <w:noProof/>
            </w:rPr>
            <w:t>(ABS, 2013)</w:t>
          </w:r>
          <w:r w:rsidR="003352B0">
            <w:rPr>
              <w:noProof/>
            </w:rPr>
            <w:fldChar w:fldCharType="end"/>
          </w:r>
        </w:sdtContent>
      </w:sdt>
      <w:r w:rsidR="00405508">
        <w:t>.</w:t>
      </w:r>
    </w:p>
    <w:p w:rsidR="00481FD4" w:rsidRDefault="00481FD4">
      <w:pPr>
        <w:jc w:val="both"/>
      </w:pPr>
    </w:p>
    <w:p w:rsidR="00481FD4" w:rsidRDefault="00405508">
      <w:pPr>
        <w:pStyle w:val="Bijschrift"/>
        <w:jc w:val="center"/>
      </w:pPr>
      <w:r>
        <w:rPr>
          <w:noProof/>
          <w:lang w:val="nl-BE" w:eastAsia="nl-BE"/>
        </w:rPr>
        <w:drawing>
          <wp:inline distT="0" distB="0" distL="0" distR="0">
            <wp:extent cx="4672051" cy="2009554"/>
            <wp:effectExtent l="19050" t="0" r="0" b="0"/>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682648" cy="2014112"/>
                    </a:xfrm>
                    <a:prstGeom prst="rect">
                      <a:avLst/>
                    </a:prstGeom>
                    <a:noFill/>
                    <a:ln w="9525">
                      <a:noFill/>
                      <a:miter lim="800000"/>
                      <a:headEnd/>
                      <a:tailEnd/>
                    </a:ln>
                  </pic:spPr>
                </pic:pic>
              </a:graphicData>
            </a:graphic>
          </wp:inline>
        </w:drawing>
      </w:r>
    </w:p>
    <w:p w:rsidR="00481FD4" w:rsidRDefault="00405508">
      <w:pPr>
        <w:pStyle w:val="Bijschrift"/>
        <w:jc w:val="center"/>
      </w:pPr>
      <w:r>
        <w:t xml:space="preserve">Figure </w:t>
      </w:r>
      <w:r w:rsidR="003352B0">
        <w:fldChar w:fldCharType="begin"/>
      </w:r>
      <w:r w:rsidR="004D4B90">
        <w:instrText xml:space="preserve"> SEQ Figuur \* ARABIC </w:instrText>
      </w:r>
      <w:r w:rsidR="003352B0">
        <w:fldChar w:fldCharType="separate"/>
      </w:r>
      <w:r w:rsidR="008B337B">
        <w:rPr>
          <w:noProof/>
        </w:rPr>
        <w:t>3</w:t>
      </w:r>
      <w:r w:rsidR="003352B0">
        <w:rPr>
          <w:noProof/>
        </w:rPr>
        <w:fldChar w:fldCharType="end"/>
      </w:r>
      <w:r>
        <w:t xml:space="preserve">: </w:t>
      </w:r>
      <w:proofErr w:type="spellStart"/>
      <w:r>
        <w:t>Wärtsilä</w:t>
      </w:r>
      <w:proofErr w:type="spellEnd"/>
      <w:r>
        <w:t xml:space="preserve"> exhaust bypass valves </w:t>
      </w:r>
      <w:sdt>
        <w:sdtPr>
          <w:id w:val="94334041"/>
          <w:citation/>
        </w:sdtPr>
        <w:sdtContent>
          <w:r w:rsidR="003352B0">
            <w:fldChar w:fldCharType="begin"/>
          </w:r>
          <w:r w:rsidR="004D4B90">
            <w:instrText xml:space="preserve"> CITATION ABS13 \l 2067 </w:instrText>
          </w:r>
          <w:r w:rsidR="003352B0">
            <w:fldChar w:fldCharType="separate"/>
          </w:r>
          <w:r>
            <w:rPr>
              <w:noProof/>
            </w:rPr>
            <w:t>(ABS, 2013)</w:t>
          </w:r>
          <w:r w:rsidR="003352B0">
            <w:rPr>
              <w:noProof/>
            </w:rPr>
            <w:fldChar w:fldCharType="end"/>
          </w:r>
        </w:sdtContent>
      </w:sdt>
      <w:r>
        <w:t>.</w:t>
      </w:r>
    </w:p>
    <w:p w:rsidR="00481FD4" w:rsidRDefault="00481FD4"/>
    <w:p w:rsidR="00481FD4" w:rsidRDefault="00405508">
      <w:pPr>
        <w:rPr>
          <w:rFonts w:asciiTheme="majorHAnsi" w:eastAsiaTheme="majorEastAsia" w:hAnsiTheme="majorHAnsi" w:cstheme="majorBidi"/>
          <w:b/>
          <w:bCs/>
          <w:color w:val="4F81BD" w:themeColor="accent1"/>
        </w:rPr>
      </w:pPr>
      <w:r>
        <w:br w:type="page"/>
      </w:r>
    </w:p>
    <w:p w:rsidR="00481FD4" w:rsidRDefault="00405508">
      <w:pPr>
        <w:pStyle w:val="Kop2"/>
      </w:pPr>
      <w:bookmarkStart w:id="19" w:name="_Toc455838061"/>
      <w:r>
        <w:lastRenderedPageBreak/>
        <w:t>2.7 Stability impact</w:t>
      </w:r>
      <w:bookmarkEnd w:id="19"/>
    </w:p>
    <w:p w:rsidR="00481FD4" w:rsidRDefault="00405508">
      <w:pPr>
        <w:jc w:val="both"/>
      </w:pPr>
      <w:r>
        <w:t>For existing ships a reversion of the stability may need to be considered based on the increased wind profile and additional weight of the scrubber. In general, if the change in lightship displacement exceeds 2% (200tons), and/or the change in lightship longitudinal center of gravity (LCG) exceeds 1% of length between perpendiculars (LBP), a stability test may be required on the vessel and stability calculations may need to be revised t</w:t>
      </w:r>
      <w:r w:rsidR="00955661">
        <w:t>o</w:t>
      </w:r>
      <w:r>
        <w:t xml:space="preserve"> indicate the changes. W</w:t>
      </w:r>
      <w:r w:rsidR="00955661">
        <w:t>hen</w:t>
      </w:r>
      <w:r>
        <w:t xml:space="preserve"> a ship is within these limits, immediate update of the Stability Booklet may not be required. In this case the principal particular page would need to be updated and the ship would be required to use the latest lightship properties when assessing new conditions </w:t>
      </w:r>
      <w:sdt>
        <w:sdtPr>
          <w:id w:val="161799933"/>
          <w:citation/>
        </w:sdtPr>
        <w:sdtContent>
          <w:r w:rsidR="003352B0">
            <w:fldChar w:fldCharType="begin"/>
          </w:r>
          <w:r>
            <w:rPr>
              <w:lang w:val="en-GB"/>
            </w:rPr>
            <w:instrText xml:space="preserve"> CITATION ABS13 \l 2067 </w:instrText>
          </w:r>
          <w:r w:rsidR="003352B0">
            <w:fldChar w:fldCharType="separate"/>
          </w:r>
          <w:r>
            <w:rPr>
              <w:noProof/>
              <w:lang w:val="en-GB"/>
            </w:rPr>
            <w:t>(ABS, 2013)</w:t>
          </w:r>
          <w:r w:rsidR="003352B0">
            <w:fldChar w:fldCharType="end"/>
          </w:r>
        </w:sdtContent>
      </w:sdt>
      <w:r>
        <w:t>.</w:t>
      </w:r>
      <w:r w:rsidR="00955661">
        <w:t xml:space="preserve"> </w:t>
      </w:r>
    </w:p>
    <w:p w:rsidR="00481FD4" w:rsidRDefault="00405508">
      <w:pPr>
        <w:jc w:val="both"/>
      </w:pPr>
      <w:r>
        <w:t xml:space="preserve">It is estimated that the structure to support the scrubber, including the expanded exhaust system casing, will weigh about 50 percent of the scrubber weight, so the weight impact on the vessel deadweight and stability will be about 150 percent of the scrubber operational weight </w:t>
      </w:r>
      <w:sdt>
        <w:sdtPr>
          <w:id w:val="155333971"/>
          <w:citation/>
        </w:sdtPr>
        <w:sdtContent>
          <w:r w:rsidR="003352B0">
            <w:fldChar w:fldCharType="begin"/>
          </w:r>
          <w:r>
            <w:rPr>
              <w:lang w:val="en-GB"/>
            </w:rPr>
            <w:instrText xml:space="preserve"> CITATION DNV12 \l 2067 </w:instrText>
          </w:r>
          <w:r w:rsidR="003352B0">
            <w:fldChar w:fldCharType="separate"/>
          </w:r>
          <w:r>
            <w:rPr>
              <w:noProof/>
              <w:lang w:val="en-GB"/>
            </w:rPr>
            <w:t>(DNV, 2012)</w:t>
          </w:r>
          <w:r w:rsidR="003352B0">
            <w:fldChar w:fldCharType="end"/>
          </w:r>
        </w:sdtContent>
      </w:sdt>
      <w:r>
        <w:t>.</w:t>
      </w:r>
    </w:p>
    <w:p w:rsidR="00A37B24" w:rsidRDefault="00405508">
      <w:pPr>
        <w:jc w:val="both"/>
      </w:pPr>
      <w:r>
        <w:t>For the vessels in question the influence on the stability aspects will not be evaluated in details during this study as the weight impact of the scrubber installation is only 0.3% (30tons) of the lightship displacement.</w:t>
      </w:r>
      <w:r w:rsidR="00A37B24">
        <w:t xml:space="preserve"> </w:t>
      </w:r>
      <w:r>
        <w:t>It is assumed that the impact of the conversion will not have a significant impact on the stability compliance thus operability of the vessel.</w:t>
      </w:r>
    </w:p>
    <w:p w:rsidR="00481FD4" w:rsidRDefault="00481FD4">
      <w:pPr>
        <w:rPr>
          <w:rFonts w:asciiTheme="majorHAnsi" w:eastAsiaTheme="majorEastAsia" w:hAnsiTheme="majorHAnsi" w:cstheme="majorBidi"/>
          <w:b/>
          <w:bCs/>
          <w:color w:val="365F91" w:themeColor="accent1" w:themeShade="BF"/>
          <w:sz w:val="28"/>
          <w:szCs w:val="28"/>
        </w:rPr>
      </w:pPr>
    </w:p>
    <w:p w:rsidR="00481FD4" w:rsidRDefault="00405508">
      <w:pPr>
        <w:rPr>
          <w:rFonts w:asciiTheme="majorHAnsi" w:eastAsiaTheme="majorEastAsia" w:hAnsiTheme="majorHAnsi" w:cstheme="majorBidi"/>
          <w:b/>
          <w:bCs/>
          <w:color w:val="365F91" w:themeColor="accent1" w:themeShade="BF"/>
          <w:sz w:val="28"/>
          <w:szCs w:val="28"/>
        </w:rPr>
      </w:pPr>
      <w:r>
        <w:br w:type="page"/>
      </w:r>
    </w:p>
    <w:p w:rsidR="00481FD4" w:rsidRDefault="00405508">
      <w:pPr>
        <w:pStyle w:val="Kop1"/>
        <w:jc w:val="both"/>
      </w:pPr>
      <w:bookmarkStart w:id="20" w:name="_Toc455838062"/>
      <w:r>
        <w:lastRenderedPageBreak/>
        <w:t>3. Method</w:t>
      </w:r>
      <w:bookmarkEnd w:id="20"/>
    </w:p>
    <w:p w:rsidR="00481FD4" w:rsidRDefault="00405508">
      <w:pPr>
        <w:jc w:val="both"/>
        <w:rPr>
          <w:shd w:val="clear" w:color="auto" w:fill="FFFFFF"/>
        </w:rPr>
      </w:pPr>
      <w:r>
        <w:rPr>
          <w:shd w:val="clear" w:color="auto" w:fill="FFFFFF"/>
        </w:rPr>
        <w:t>In this section, an explanation of how the study tries to achieve a valid and reliable answer to the research question is given. This study is based on qualitative research. The elements of the proposed methodology relevant to the scrubber's conceptual design phase will be discussed. These elements are:</w:t>
      </w:r>
    </w:p>
    <w:p w:rsidR="00481FD4" w:rsidRDefault="00405508">
      <w:pPr>
        <w:pStyle w:val="Lijstalinea"/>
        <w:numPr>
          <w:ilvl w:val="0"/>
          <w:numId w:val="26"/>
        </w:numPr>
        <w:jc w:val="both"/>
        <w:rPr>
          <w:shd w:val="clear" w:color="auto" w:fill="FFFFFF"/>
        </w:rPr>
      </w:pPr>
      <w:r>
        <w:rPr>
          <w:shd w:val="clear" w:color="auto" w:fill="FFFFFF"/>
        </w:rPr>
        <w:t>The selection of the most suitable scrubber installation by the study and analysis of similar cases. The gathered information will be analyzed, compared and applied to the present situation of the vessel type Sole 10.000.</w:t>
      </w:r>
    </w:p>
    <w:p w:rsidR="00481FD4" w:rsidRDefault="00405508">
      <w:pPr>
        <w:pStyle w:val="Lijstalinea"/>
        <w:numPr>
          <w:ilvl w:val="0"/>
          <w:numId w:val="26"/>
        </w:numPr>
        <w:jc w:val="both"/>
        <w:rPr>
          <w:shd w:val="clear" w:color="auto" w:fill="FFFFFF"/>
        </w:rPr>
      </w:pPr>
      <w:r>
        <w:rPr>
          <w:shd w:val="clear" w:color="auto" w:fill="FFFFFF"/>
        </w:rPr>
        <w:t>The space and power availability onboard of the vessel type Sole 10.000 will be investigated by executing field work and analyzing the gathered infor</w:t>
      </w:r>
      <w:r w:rsidR="00955661">
        <w:rPr>
          <w:shd w:val="clear" w:color="auto" w:fill="FFFFFF"/>
        </w:rPr>
        <w:t>mation of the theoretical frame</w:t>
      </w:r>
      <w:r w:rsidR="00BD4DE4">
        <w:rPr>
          <w:shd w:val="clear" w:color="auto" w:fill="FFFFFF"/>
        </w:rPr>
        <w:t>.</w:t>
      </w:r>
      <w:r w:rsidR="00E57DDA">
        <w:rPr>
          <w:shd w:val="clear" w:color="auto" w:fill="FFFFFF"/>
        </w:rPr>
        <w:t xml:space="preserve"> </w:t>
      </w:r>
      <w:r w:rsidR="00CC359E">
        <w:rPr>
          <w:shd w:val="clear" w:color="auto" w:fill="FFFFFF"/>
        </w:rPr>
        <w:t xml:space="preserve">Also </w:t>
      </w:r>
      <w:r w:rsidR="00BE643B">
        <w:rPr>
          <w:shd w:val="clear" w:color="auto" w:fill="FFFFFF"/>
        </w:rPr>
        <w:t xml:space="preserve">ground plans and 3D drawings of the engine room will be used to agree with a proper and well found result. </w:t>
      </w:r>
    </w:p>
    <w:p w:rsidR="00481FD4" w:rsidRDefault="00405508">
      <w:pPr>
        <w:pStyle w:val="Lijstalinea"/>
        <w:numPr>
          <w:ilvl w:val="0"/>
          <w:numId w:val="26"/>
        </w:numPr>
        <w:jc w:val="both"/>
        <w:rPr>
          <w:shd w:val="clear" w:color="auto" w:fill="FFFFFF"/>
        </w:rPr>
      </w:pPr>
      <w:r>
        <w:rPr>
          <w:shd w:val="clear" w:color="auto" w:fill="FFFFFF"/>
        </w:rPr>
        <w:t xml:space="preserve">The economical benefit for CFL regarding to the investment costs for retrofitting the selected scrubber system. The study will process the gathered information of the consulted sources, such as manufacturers and companies, into an excel file to establish a well founded answer. </w:t>
      </w:r>
    </w:p>
    <w:p w:rsidR="00481FD4" w:rsidRDefault="00405508">
      <w:pPr>
        <w:jc w:val="both"/>
        <w:rPr>
          <w:shd w:val="clear" w:color="auto" w:fill="FFFFFF"/>
        </w:rPr>
      </w:pPr>
      <w:r>
        <w:rPr>
          <w:shd w:val="clear" w:color="auto" w:fill="FFFFFF"/>
        </w:rPr>
        <w:t>The working principle of different equipment manufacturers is almost the same. It means that the scrubbers are approximately the same in size and mass, in pumping capacities, caustic soda solution, etc. That is why differences between manufacturers are not taken into account.</w:t>
      </w:r>
    </w:p>
    <w:p w:rsidR="00481FD4" w:rsidRDefault="00481FD4">
      <w:pPr>
        <w:jc w:val="both"/>
        <w:rPr>
          <w:shd w:val="clear" w:color="auto" w:fill="FFFFFF"/>
        </w:rPr>
      </w:pPr>
    </w:p>
    <w:p w:rsidR="00481FD4" w:rsidRDefault="00405508">
      <w:pPr>
        <w:pStyle w:val="Kop2"/>
      </w:pPr>
      <w:bookmarkStart w:id="21" w:name="_Toc455838063"/>
      <w:r>
        <w:t>3.1 Type Selection</w:t>
      </w:r>
      <w:bookmarkEnd w:id="21"/>
    </w:p>
    <w:p w:rsidR="00481FD4" w:rsidRDefault="00405508">
      <w:pPr>
        <w:jc w:val="both"/>
      </w:pPr>
      <w:r>
        <w:t>There are a lot of differences between the several systems. Each system has its own advantages, disadvantages and specifications. Based on these 'drivers and barriers' the most suitable scrubber system f</w:t>
      </w:r>
      <w:r w:rsidR="00985470">
        <w:t>or CFL worldwide sailing vessel</w:t>
      </w:r>
      <w:r>
        <w:t xml:space="preserve"> type Sole 10.000 will be composed. The selected scrubber type must meet the most important requirement of CFL, the preservation of their global sailing area. As an open-loop system is already restricted in his operational area due to local discharge regulations, this will not be further discussed during this study.</w:t>
      </w:r>
    </w:p>
    <w:p w:rsidR="00481FD4" w:rsidRDefault="00405508">
      <w:pPr>
        <w:pStyle w:val="Kop2"/>
      </w:pPr>
      <w:bookmarkStart w:id="22" w:name="_Toc455838064"/>
      <w:r>
        <w:t>3.2 Space Availability</w:t>
      </w:r>
      <w:bookmarkEnd w:id="22"/>
    </w:p>
    <w:p w:rsidR="00481FD4" w:rsidRDefault="00397171">
      <w:pPr>
        <w:jc w:val="both"/>
      </w:pPr>
      <w:r>
        <w:t>“</w:t>
      </w:r>
      <w:r w:rsidR="00405508">
        <w:t>Wet scrubbers together with their associated auxiliary equipment are large units. Table 7 shows the principal dimensions based on engine power rating, for scrubbers produced by Alfa Laval Aalborg Industries. Scrubbers from other manufacturers will have different dimensions, but the size is expected to be of a similar order of magnitude</w:t>
      </w:r>
      <w:r>
        <w:t>”</w:t>
      </w:r>
      <w:r w:rsidR="00405508">
        <w:t xml:space="preserve"> </w:t>
      </w:r>
      <w:sdt>
        <w:sdtPr>
          <w:id w:val="24561739"/>
          <w:citation/>
        </w:sdtPr>
        <w:sdtContent>
          <w:r w:rsidR="003352B0">
            <w:fldChar w:fldCharType="begin"/>
          </w:r>
          <w:r w:rsidR="004D4B90">
            <w:instrText xml:space="preserve"> CITATION ABS13 \l 2067 </w:instrText>
          </w:r>
          <w:r w:rsidR="003352B0">
            <w:fldChar w:fldCharType="separate"/>
          </w:r>
          <w:r w:rsidR="00405508">
            <w:rPr>
              <w:noProof/>
            </w:rPr>
            <w:t>(ABS, 2013)</w:t>
          </w:r>
          <w:r w:rsidR="003352B0">
            <w:rPr>
              <w:noProof/>
            </w:rPr>
            <w:fldChar w:fldCharType="end"/>
          </w:r>
        </w:sdtContent>
      </w:sdt>
      <w:r w:rsidR="00405508">
        <w:t>. The space and stabilit</w:t>
      </w:r>
      <w:r w:rsidR="00BE643B">
        <w:t>y calculations made during t</w:t>
      </w:r>
      <w:r w:rsidR="00405508">
        <w:t>his study will therefore be based on these dimensions.</w:t>
      </w:r>
    </w:p>
    <w:p w:rsidR="00481FD4" w:rsidRDefault="00405508">
      <w:pPr>
        <w:jc w:val="center"/>
      </w:pPr>
      <w:r>
        <w:rPr>
          <w:noProof/>
          <w:lang w:val="nl-BE" w:eastAsia="nl-BE"/>
        </w:rPr>
        <w:lastRenderedPageBreak/>
        <w:drawing>
          <wp:inline distT="0" distB="0" distL="0" distR="0">
            <wp:extent cx="5759450" cy="1080770"/>
            <wp:effectExtent l="19050" t="0" r="0" b="0"/>
            <wp:docPr id="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759450" cy="1080770"/>
                    </a:xfrm>
                    <a:prstGeom prst="rect">
                      <a:avLst/>
                    </a:prstGeom>
                    <a:noFill/>
                    <a:ln w="9525">
                      <a:noFill/>
                      <a:miter lim="800000"/>
                      <a:headEnd/>
                      <a:tailEnd/>
                    </a:ln>
                  </pic:spPr>
                </pic:pic>
              </a:graphicData>
            </a:graphic>
          </wp:inline>
        </w:drawing>
      </w:r>
    </w:p>
    <w:p w:rsidR="00481FD4" w:rsidRDefault="00405508">
      <w:pPr>
        <w:pStyle w:val="Bijschrift"/>
        <w:keepNext/>
        <w:jc w:val="center"/>
      </w:pPr>
      <w:r>
        <w:t xml:space="preserve">Table 7: Alfa Laval closed-loop wet scrubber principal dimensions for a 4 MW engine </w:t>
      </w:r>
      <w:sdt>
        <w:sdtPr>
          <w:id w:val="355789500"/>
          <w:citation/>
        </w:sdtPr>
        <w:sdtContent>
          <w:r w:rsidR="003352B0">
            <w:fldChar w:fldCharType="begin"/>
          </w:r>
          <w:r w:rsidR="004D4B90">
            <w:instrText xml:space="preserve"> CITATION Alf15 \l 2067 </w:instrText>
          </w:r>
          <w:r w:rsidR="003352B0">
            <w:fldChar w:fldCharType="separate"/>
          </w:r>
          <w:r>
            <w:rPr>
              <w:noProof/>
            </w:rPr>
            <w:t xml:space="preserve"> (Laval, 2015)</w:t>
          </w:r>
          <w:r w:rsidR="003352B0">
            <w:rPr>
              <w:noProof/>
            </w:rPr>
            <w:fldChar w:fldCharType="end"/>
          </w:r>
        </w:sdtContent>
      </w:sdt>
      <w:r>
        <w:t>.</w:t>
      </w:r>
    </w:p>
    <w:p w:rsidR="00481FD4" w:rsidRDefault="00405508">
      <w:pPr>
        <w:jc w:val="both"/>
      </w:pPr>
      <w:r>
        <w:t>In addition to the scrubber itself, the research will consider the space requirements of the associated scrubber auxiliary equipment, such as pumps, process tanks, particulate separators, and coolers, which are similar in size to other engine room auxiliary equipment of the same type. The main auxiliary equipment and</w:t>
      </w:r>
      <w:r w:rsidR="00985470">
        <w:t xml:space="preserve"> the systems required tank capacities</w:t>
      </w:r>
      <w:r w:rsidR="00324712">
        <w:t xml:space="preserve"> for several engine sizes</w:t>
      </w:r>
      <w:r w:rsidR="00985470">
        <w:t xml:space="preserve"> </w:t>
      </w:r>
      <w:r>
        <w:t>are listed below in Table 8.</w:t>
      </w:r>
      <w:r w:rsidR="00985470">
        <w:t xml:space="preserve"> </w:t>
      </w:r>
    </w:p>
    <w:p w:rsidR="00481FD4" w:rsidRDefault="00405508">
      <w:pPr>
        <w:keepNext/>
        <w:jc w:val="center"/>
      </w:pPr>
      <w:r>
        <w:rPr>
          <w:noProof/>
          <w:lang w:val="nl-BE" w:eastAsia="nl-BE"/>
        </w:rPr>
        <w:drawing>
          <wp:inline distT="0" distB="0" distL="0" distR="0">
            <wp:extent cx="5632008" cy="2047164"/>
            <wp:effectExtent l="19050" t="0" r="6792" b="0"/>
            <wp:docPr id="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632008" cy="2047164"/>
                    </a:xfrm>
                    <a:prstGeom prst="rect">
                      <a:avLst/>
                    </a:prstGeom>
                    <a:noFill/>
                    <a:ln w="9525">
                      <a:noFill/>
                      <a:miter lim="800000"/>
                      <a:headEnd/>
                      <a:tailEnd/>
                    </a:ln>
                  </pic:spPr>
                </pic:pic>
              </a:graphicData>
            </a:graphic>
          </wp:inline>
        </w:drawing>
      </w:r>
    </w:p>
    <w:p w:rsidR="00481FD4" w:rsidRDefault="00405508">
      <w:pPr>
        <w:pStyle w:val="Bijschrift"/>
        <w:jc w:val="center"/>
      </w:pPr>
      <w:r>
        <w:t xml:space="preserve">Table 8: Sample Wet Scrubber Auxiliary Equipment Sizing </w:t>
      </w:r>
      <w:sdt>
        <w:sdtPr>
          <w:id w:val="155333979"/>
          <w:citation/>
        </w:sdtPr>
        <w:sdtContent>
          <w:r w:rsidR="003352B0">
            <w:fldChar w:fldCharType="begin"/>
          </w:r>
          <w:r>
            <w:rPr>
              <w:lang w:val="en-GB"/>
            </w:rPr>
            <w:instrText xml:space="preserve"> CITATION ABS13 \l 2067 </w:instrText>
          </w:r>
          <w:r w:rsidR="003352B0">
            <w:fldChar w:fldCharType="separate"/>
          </w:r>
          <w:r>
            <w:rPr>
              <w:noProof/>
              <w:lang w:val="en-GB"/>
            </w:rPr>
            <w:t>(ABS, 2013)</w:t>
          </w:r>
          <w:r w:rsidR="003352B0">
            <w:fldChar w:fldCharType="end"/>
          </w:r>
        </w:sdtContent>
      </w:sdt>
      <w:r>
        <w:t>.</w:t>
      </w:r>
    </w:p>
    <w:p w:rsidR="00481FD4" w:rsidRDefault="00405508">
      <w:pPr>
        <w:jc w:val="both"/>
      </w:pPr>
      <w:r>
        <w:t>The research will in the first case check if the necessary space for the scrubbing tower is available by measuring the present space dimensions and compare these to the required space</w:t>
      </w:r>
      <w:r w:rsidR="00324712">
        <w:t>, extracted from Table 8</w:t>
      </w:r>
      <w:r>
        <w:t>. The Sole vessels of CFL do not have cargo aft of the deckhouse and there is space to expand the engine exhaust casing to the aft. If it seems to</w:t>
      </w:r>
      <w:r w:rsidR="00BD4DE4">
        <w:t xml:space="preserve"> be possible to fit the scrubbing tower</w:t>
      </w:r>
      <w:r>
        <w:t xml:space="preserve"> in the funnel, it will be investigated if there is enough space available for the main auxiliary equipment based on the figures above; assuming the consumed Caustic Soda and generated sludge substances will be supplied/discharged from/to the shore on a monthly base.</w:t>
      </w:r>
      <w:r w:rsidR="00E57DDA">
        <w:t xml:space="preserve"> </w:t>
      </w:r>
    </w:p>
    <w:p w:rsidR="00F8266C" w:rsidRDefault="00F8266C" w:rsidP="00F8266C">
      <w:pPr>
        <w:pStyle w:val="Kop2"/>
      </w:pPr>
      <w:bookmarkStart w:id="23" w:name="_Toc455838065"/>
      <w:r>
        <w:t>3.3 Power Availability</w:t>
      </w:r>
      <w:bookmarkEnd w:id="23"/>
    </w:p>
    <w:p w:rsidR="00FA7B8D" w:rsidRDefault="00405508" w:rsidP="00FA7B8D">
      <w:r>
        <w:t xml:space="preserve">Also, the study will check if the required energy to operate the scrubber system can be delivered by the main and auxiliary engines as they are installed at this moment. This will be done by </w:t>
      </w:r>
      <w:r w:rsidR="00FA7B8D">
        <w:t xml:space="preserve">analyzing the </w:t>
      </w:r>
      <w:r w:rsidR="00C53069">
        <w:t xml:space="preserve">electricity </w:t>
      </w:r>
      <w:r w:rsidR="00BD4DE4">
        <w:t xml:space="preserve">production </w:t>
      </w:r>
      <w:r w:rsidR="00FA7B8D">
        <w:t xml:space="preserve">of the generators during several sailing situations. </w:t>
      </w:r>
      <w:r>
        <w:t xml:space="preserve"> </w:t>
      </w:r>
      <w:r w:rsidR="00FA7B8D">
        <w:t>To keep record of the generated power, a log-sheet will be made.</w:t>
      </w:r>
      <w:r w:rsidR="00FA7B8D" w:rsidRPr="00FA7B8D">
        <w:t xml:space="preserve"> </w:t>
      </w:r>
    </w:p>
    <w:p w:rsidR="00C53069" w:rsidRDefault="00C53069">
      <w:pPr>
        <w:rPr>
          <w:rFonts w:asciiTheme="majorHAnsi" w:eastAsiaTheme="majorEastAsia" w:hAnsiTheme="majorHAnsi" w:cstheme="majorBidi"/>
          <w:b/>
          <w:bCs/>
          <w:color w:val="4F81BD" w:themeColor="accent1"/>
          <w:sz w:val="26"/>
          <w:szCs w:val="26"/>
        </w:rPr>
      </w:pPr>
      <w:r>
        <w:br w:type="page"/>
      </w:r>
    </w:p>
    <w:p w:rsidR="00481FD4" w:rsidRDefault="00F8266C">
      <w:pPr>
        <w:pStyle w:val="Kop2"/>
      </w:pPr>
      <w:bookmarkStart w:id="24" w:name="_Toc455838066"/>
      <w:r>
        <w:lastRenderedPageBreak/>
        <w:t>3.4</w:t>
      </w:r>
      <w:r w:rsidR="00405508">
        <w:t xml:space="preserve"> Economical Benefit</w:t>
      </w:r>
      <w:bookmarkEnd w:id="24"/>
    </w:p>
    <w:p w:rsidR="00481FD4" w:rsidRDefault="00405508">
      <w:pPr>
        <w:jc w:val="both"/>
      </w:pPr>
      <w:r>
        <w:t>Based on the financial factors an estimation of the total investment cost of the selected scrubber system will be made. Based on the respective investment costs/capital expenses (CAPEX) and operating expenses (OPEX) to the retrofit option versus the added operational cost associated with the shift to MGO as required by the regulations, the return on investment (ROI) will be calculated. The ROI results will be presented as a function of the operating time inside ECAs</w:t>
      </w:r>
      <w:sdt>
        <w:sdtPr>
          <w:id w:val="1761888251"/>
          <w:citation/>
        </w:sdtPr>
        <w:sdtContent>
          <w:r w:rsidR="003352B0">
            <w:fldChar w:fldCharType="begin"/>
          </w:r>
          <w:r w:rsidR="00397171" w:rsidRPr="00360504">
            <w:instrText xml:space="preserve"> CITATION Kli12 \l 2067 </w:instrText>
          </w:r>
          <w:r w:rsidR="003352B0">
            <w:fldChar w:fldCharType="separate"/>
          </w:r>
          <w:r w:rsidR="00397171" w:rsidRPr="00360504">
            <w:rPr>
              <w:noProof/>
            </w:rPr>
            <w:t xml:space="preserve"> (Klimt-Mollenbach, Schack, Eefsen, &amp; De Kat, 2012)</w:t>
          </w:r>
          <w:r w:rsidR="003352B0">
            <w:fldChar w:fldCharType="end"/>
          </w:r>
        </w:sdtContent>
      </w:sdt>
      <w:r>
        <w:t xml:space="preserve">. The figures used in the Excel file are abstracted form </w:t>
      </w:r>
      <w:r>
        <w:rPr>
          <w:rFonts w:ascii="Calibri" w:hAnsi="Calibri"/>
          <w:lang w:val="en-GB"/>
        </w:rPr>
        <w:t>the consulted manufacturers and companies during this research which can be found in the list of references. These figures apply to this research but can be adjusted at all times in the</w:t>
      </w:r>
      <w:r w:rsidR="00C53069">
        <w:rPr>
          <w:rFonts w:ascii="Calibri" w:hAnsi="Calibri"/>
          <w:lang w:val="en-GB"/>
        </w:rPr>
        <w:t xml:space="preserve"> excel</w:t>
      </w:r>
      <w:r>
        <w:rPr>
          <w:rFonts w:ascii="Calibri" w:hAnsi="Calibri"/>
          <w:lang w:val="en-GB"/>
        </w:rPr>
        <w:t xml:space="preserve"> file according to the selected scrubber manufacturer and future situations among the alternating prices of the several consumables. </w:t>
      </w:r>
      <w:r>
        <w:t>The most important investment costs for retrofitting a scrubber installation are as next:</w:t>
      </w:r>
    </w:p>
    <w:p w:rsidR="00481FD4" w:rsidRDefault="00405508">
      <w:pPr>
        <w:pStyle w:val="Lijstalinea"/>
        <w:numPr>
          <w:ilvl w:val="0"/>
          <w:numId w:val="23"/>
        </w:numPr>
        <w:jc w:val="both"/>
      </w:pPr>
      <w:r>
        <w:t>Initial cost of the scrubber (Incl. additional miscellaneous auxiliary equipment)</w:t>
      </w:r>
    </w:p>
    <w:p w:rsidR="00481FD4" w:rsidRDefault="00405508">
      <w:pPr>
        <w:pStyle w:val="Lijstalinea"/>
        <w:numPr>
          <w:ilvl w:val="0"/>
          <w:numId w:val="23"/>
        </w:numPr>
        <w:jc w:val="both"/>
      </w:pPr>
      <w:r>
        <w:t xml:space="preserve">Conversion materials (Steel, pipes, electrical installations and modifications) </w:t>
      </w:r>
    </w:p>
    <w:p w:rsidR="00481FD4" w:rsidRDefault="00405508">
      <w:pPr>
        <w:pStyle w:val="Lijstalinea"/>
        <w:numPr>
          <w:ilvl w:val="0"/>
          <w:numId w:val="23"/>
        </w:numPr>
        <w:jc w:val="both"/>
      </w:pPr>
      <w:r>
        <w:t>Additional fuel consumption to operate the scrubber system</w:t>
      </w:r>
    </w:p>
    <w:p w:rsidR="00481FD4" w:rsidRDefault="00405508">
      <w:pPr>
        <w:pStyle w:val="Lijstalinea"/>
        <w:numPr>
          <w:ilvl w:val="0"/>
          <w:numId w:val="23"/>
        </w:numPr>
        <w:jc w:val="both"/>
      </w:pPr>
      <w:r>
        <w:t>Docking (2weeks)</w:t>
      </w:r>
    </w:p>
    <w:p w:rsidR="00481FD4" w:rsidRDefault="00405508">
      <w:pPr>
        <w:pStyle w:val="Lijstalinea"/>
        <w:numPr>
          <w:ilvl w:val="0"/>
          <w:numId w:val="23"/>
        </w:numPr>
        <w:jc w:val="both"/>
      </w:pPr>
      <w:r>
        <w:t>Off-Hire cost/installation time (3-4weeks at a rate of 10.000 USD/day)</w:t>
      </w:r>
    </w:p>
    <w:p w:rsidR="00481FD4" w:rsidRDefault="00405508">
      <w:pPr>
        <w:pStyle w:val="Lijstalinea"/>
        <w:numPr>
          <w:ilvl w:val="0"/>
          <w:numId w:val="23"/>
        </w:numPr>
        <w:jc w:val="both"/>
      </w:pPr>
      <w:r>
        <w:t>Caustic Soda consumption</w:t>
      </w:r>
    </w:p>
    <w:p w:rsidR="00481FD4" w:rsidRDefault="00405508">
      <w:pPr>
        <w:pStyle w:val="Lijstalinea"/>
        <w:numPr>
          <w:ilvl w:val="0"/>
          <w:numId w:val="23"/>
        </w:numPr>
        <w:jc w:val="both"/>
      </w:pPr>
      <w:r>
        <w:t>Maintenance of the system</w:t>
      </w:r>
    </w:p>
    <w:p w:rsidR="00481FD4" w:rsidRDefault="00405508">
      <w:pPr>
        <w:pStyle w:val="Lijstalinea"/>
        <w:numPr>
          <w:ilvl w:val="0"/>
          <w:numId w:val="23"/>
        </w:numPr>
        <w:jc w:val="both"/>
      </w:pPr>
      <w:r>
        <w:t>Design and Classification costs</w:t>
      </w:r>
    </w:p>
    <w:p w:rsidR="00481FD4" w:rsidRDefault="00481FD4">
      <w:pPr>
        <w:jc w:val="both"/>
      </w:pPr>
    </w:p>
    <w:p w:rsidR="00481FD4" w:rsidRDefault="00481FD4">
      <w:pPr>
        <w:rPr>
          <w:rFonts w:asciiTheme="majorHAnsi" w:eastAsiaTheme="majorEastAsia" w:hAnsiTheme="majorHAnsi" w:cstheme="majorBidi"/>
          <w:b/>
          <w:bCs/>
          <w:color w:val="365F91" w:themeColor="accent1" w:themeShade="BF"/>
          <w:sz w:val="28"/>
          <w:szCs w:val="28"/>
        </w:rPr>
      </w:pPr>
    </w:p>
    <w:p w:rsidR="00481FD4" w:rsidRDefault="00405508">
      <w:pPr>
        <w:rPr>
          <w:rFonts w:asciiTheme="majorHAnsi" w:eastAsiaTheme="majorEastAsia" w:hAnsiTheme="majorHAnsi" w:cstheme="majorBidi"/>
          <w:b/>
          <w:bCs/>
          <w:color w:val="365F91" w:themeColor="accent1" w:themeShade="BF"/>
          <w:sz w:val="28"/>
          <w:szCs w:val="28"/>
        </w:rPr>
      </w:pPr>
      <w:bookmarkStart w:id="25" w:name="_Toc446520396"/>
      <w:bookmarkStart w:id="26" w:name="_Toc447218169"/>
      <w:r>
        <w:br w:type="page"/>
      </w:r>
    </w:p>
    <w:p w:rsidR="00481FD4" w:rsidRDefault="00405508">
      <w:pPr>
        <w:pStyle w:val="Kop1"/>
        <w:jc w:val="both"/>
      </w:pPr>
      <w:bookmarkStart w:id="27" w:name="_Toc455838067"/>
      <w:r>
        <w:lastRenderedPageBreak/>
        <w:t>4. Results</w:t>
      </w:r>
      <w:bookmarkEnd w:id="25"/>
      <w:bookmarkEnd w:id="26"/>
      <w:bookmarkEnd w:id="27"/>
    </w:p>
    <w:p w:rsidR="004A2D71" w:rsidRPr="004A2D71" w:rsidRDefault="00405508">
      <w:pPr>
        <w:rPr>
          <w:shd w:val="clear" w:color="auto" w:fill="FFFFFF"/>
        </w:rPr>
      </w:pPr>
      <w:r>
        <w:t xml:space="preserve">This chapter contains the information by which a proper answer to the research question can be made. Therefore, </w:t>
      </w:r>
      <w:r>
        <w:rPr>
          <w:lang w:val="en-GB"/>
        </w:rPr>
        <w:t>t</w:t>
      </w:r>
      <w:r>
        <w:rPr>
          <w:shd w:val="clear" w:color="auto" w:fill="FFFFFF"/>
        </w:rPr>
        <w:t>he most important technical, operational and financial aspects off the selected scrubber type will be approached.</w:t>
      </w:r>
    </w:p>
    <w:p w:rsidR="00481FD4" w:rsidRDefault="00405508">
      <w:pPr>
        <w:pStyle w:val="Kop2"/>
      </w:pPr>
      <w:bookmarkStart w:id="28" w:name="_Toc455838068"/>
      <w:bookmarkStart w:id="29" w:name="_Toc446520399"/>
      <w:bookmarkStart w:id="30" w:name="_Toc447218170"/>
      <w:bookmarkStart w:id="31" w:name="_Toc446520397"/>
      <w:r>
        <w:t>4.1 Type Selection</w:t>
      </w:r>
      <w:bookmarkEnd w:id="28"/>
    </w:p>
    <w:p w:rsidR="00481FD4" w:rsidRDefault="00405508">
      <w:pPr>
        <w:jc w:val="both"/>
      </w:pPr>
      <w:r>
        <w:t>Although a dry scrubber system is simple to operate, they are less common in the marine industry. In addition to the fresh granulate, the used granulate must also be stored onboard prior to onshore disposal, which means considerable extra weight and large space requirements, which makes this type of scrubbers not suitable for installa</w:t>
      </w:r>
      <w:r w:rsidR="00AA6A02">
        <w:t>tion onboard of the vessel</w:t>
      </w:r>
      <w:r>
        <w:t xml:space="preserve"> type Sole 10.000. </w:t>
      </w:r>
    </w:p>
    <w:p w:rsidR="00481FD4" w:rsidRDefault="00405508">
      <w:pPr>
        <w:jc w:val="both"/>
      </w:pPr>
      <w:r>
        <w:t>CFL is an international sailing company, eager to transport project cargo from places that are for the most companies inaccessible because of their draft. Though CFL</w:t>
      </w:r>
      <w:r w:rsidR="00E76FE3">
        <w:t>'</w:t>
      </w:r>
      <w:r>
        <w:t xml:space="preserve">s average time spend inside an ECA nowadays is about 5%, it would be a shame CFLs operational area would get limited because of not being able to comply with the territorial MARPOL </w:t>
      </w:r>
      <w:proofErr w:type="spellStart"/>
      <w:r>
        <w:t>sulphur</w:t>
      </w:r>
      <w:proofErr w:type="spellEnd"/>
      <w:r>
        <w:t xml:space="preserve"> regulations and USA </w:t>
      </w:r>
      <w:proofErr w:type="spellStart"/>
      <w:r>
        <w:t>washwater</w:t>
      </w:r>
      <w:proofErr w:type="spellEnd"/>
      <w:r>
        <w:t xml:space="preserve"> discharge regulations. From an operational perspective, an open-loop scrubber system will be excluded as a non-suitable option. Also from a technical perspective, a closed-loop system </w:t>
      </w:r>
      <w:r w:rsidR="00931579">
        <w:t>is favorable</w:t>
      </w:r>
      <w:r>
        <w:t xml:space="preserve"> to an open-loop system </w:t>
      </w:r>
      <w:r w:rsidR="00931579">
        <w:t>as it consumes less electrical energy</w:t>
      </w:r>
      <w:r>
        <w:t>. This leaves us to the choice between a closed-loop and a hybrid system. When finally look</w:t>
      </w:r>
      <w:r w:rsidR="00945901">
        <w:t>ing at</w:t>
      </w:r>
      <w:r>
        <w:t xml:space="preserve"> the financial aspect, a closed-loop system will be relatively cheaper. Kindly note the bypass option depends on the selected system manufacturer. </w:t>
      </w:r>
    </w:p>
    <w:p w:rsidR="004A2D71" w:rsidRDefault="00405508">
      <w:pPr>
        <w:jc w:val="both"/>
      </w:pPr>
      <w:r>
        <w:t>Therefore, a closed-loop system would be the most suitable installation t</w:t>
      </w:r>
      <w:r w:rsidR="00AA6A02">
        <w:t>o install onboard of the vessel</w:t>
      </w:r>
      <w:r>
        <w:t xml:space="preserve"> type Sole 10.000.</w:t>
      </w:r>
    </w:p>
    <w:p w:rsidR="00481FD4" w:rsidRDefault="00405508">
      <w:pPr>
        <w:pStyle w:val="Kop2"/>
      </w:pPr>
      <w:bookmarkStart w:id="32" w:name="_Toc447218171"/>
      <w:bookmarkStart w:id="33" w:name="_Toc455838069"/>
      <w:bookmarkEnd w:id="29"/>
      <w:bookmarkEnd w:id="30"/>
      <w:r>
        <w:t>4.2 Space Availability</w:t>
      </w:r>
      <w:bookmarkEnd w:id="31"/>
      <w:bookmarkEnd w:id="32"/>
      <w:bookmarkEnd w:id="33"/>
    </w:p>
    <w:p w:rsidR="00481FD4" w:rsidRDefault="00985470">
      <w:pPr>
        <w:jc w:val="both"/>
      </w:pPr>
      <w:r>
        <w:t>The scrubber unit should always be installed in a vertical direction. Horizontal positioning is not possible as the efficient exhaust gas cleaning requires countercurrent interaction between the exhaust gas and scrubbing water.</w:t>
      </w:r>
      <w:r w:rsidR="00955661">
        <w:t xml:space="preserve"> </w:t>
      </w:r>
      <w:r w:rsidR="00405508">
        <w:t>As the exha</w:t>
      </w:r>
      <w:r w:rsidR="00C55CCC">
        <w:t>ust funnel casing of the vessel</w:t>
      </w:r>
      <w:r w:rsidR="00405508">
        <w:t xml:space="preserve"> type Sole 10.000 has a spoiler-design, there is no other possibility than expanding the casing to the aft</w:t>
      </w:r>
      <w:r w:rsidR="00324712">
        <w:t xml:space="preserve"> to</w:t>
      </w:r>
      <w:r w:rsidR="00324712" w:rsidRPr="00324712">
        <w:t xml:space="preserve"> </w:t>
      </w:r>
      <w:r w:rsidR="00324712">
        <w:t>fit the scrubber in a vertical position</w:t>
      </w:r>
      <w:r w:rsidR="00405508">
        <w:t xml:space="preserve">. A view from the top and from the side of the funnel is given and the possible adjustments to the </w:t>
      </w:r>
      <w:r>
        <w:t>casing are drawn in a red color (see Appendix C and</w:t>
      </w:r>
      <w:r w:rsidR="00AA6A02">
        <w:t xml:space="preserve"> Appendix</w:t>
      </w:r>
      <w:r>
        <w:t xml:space="preserve"> D).</w:t>
      </w:r>
      <w:r w:rsidR="00405508">
        <w:t xml:space="preserve"> </w:t>
      </w:r>
    </w:p>
    <w:p w:rsidR="008B337B" w:rsidRDefault="004A2D71" w:rsidP="008B337B">
      <w:pPr>
        <w:keepNext/>
        <w:jc w:val="both"/>
      </w:pPr>
      <w:r>
        <w:rPr>
          <w:noProof/>
          <w:lang w:val="nl-BE" w:eastAsia="nl-BE"/>
        </w:rPr>
        <w:lastRenderedPageBreak/>
        <w:drawing>
          <wp:inline distT="0" distB="0" distL="0" distR="0">
            <wp:extent cx="5760720" cy="3750961"/>
            <wp:effectExtent l="1905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760720" cy="3750961"/>
                    </a:xfrm>
                    <a:prstGeom prst="rect">
                      <a:avLst/>
                    </a:prstGeom>
                    <a:noFill/>
                    <a:ln w="9525">
                      <a:noFill/>
                      <a:miter lim="800000"/>
                      <a:headEnd/>
                      <a:tailEnd/>
                    </a:ln>
                  </pic:spPr>
                </pic:pic>
              </a:graphicData>
            </a:graphic>
          </wp:inline>
        </w:drawing>
      </w:r>
    </w:p>
    <w:p w:rsidR="004A2D71" w:rsidRDefault="008B337B" w:rsidP="008B337B">
      <w:pPr>
        <w:pStyle w:val="Bijschrift"/>
        <w:jc w:val="center"/>
      </w:pPr>
      <w:r>
        <w:t xml:space="preserve">Figure </w:t>
      </w:r>
      <w:fldSimple w:instr=" SEQ Figuur \* ARABIC ">
        <w:r>
          <w:rPr>
            <w:noProof/>
          </w:rPr>
          <w:t>4</w:t>
        </w:r>
      </w:fldSimple>
      <w:r>
        <w:t xml:space="preserve">: Spoiler designed </w:t>
      </w:r>
      <w:r w:rsidR="002361EF">
        <w:t>superstructure</w:t>
      </w:r>
      <w:r>
        <w:t xml:space="preserve"> of the Marvel Scan</w:t>
      </w:r>
    </w:p>
    <w:p w:rsidR="00324712" w:rsidRDefault="00405508">
      <w:pPr>
        <w:jc w:val="both"/>
      </w:pPr>
      <w:r>
        <w:t>Considering the dimensions of Table 8, it is suggested for CFL to select a scrubber manufacturer who provides closed-loop scrubber systems having a bypass function, as an inline scrubber will not be possible to fit in the converted exhaust gas casing (see Appendix E). Kindly note these casing dimensions are based on the original 'General Arrangements Plan' of the vessel, according to the use of the correct scale.</w:t>
      </w:r>
    </w:p>
    <w:p w:rsidR="00481FD4" w:rsidRDefault="00405508">
      <w:pPr>
        <w:jc w:val="both"/>
      </w:pPr>
      <w:r>
        <w:t>A proper foundation will be necessary to support the casing and the installed scrubber. The side space in the funnel area would be used to fit the required pipe work, exhaust bypass and the support of the scrubber installation. The next parameters are extracted from table 8 and from previous calculations, for a 4MW engine:</w:t>
      </w:r>
    </w:p>
    <w:p w:rsidR="00481FD4" w:rsidRDefault="00405508">
      <w:pPr>
        <w:pStyle w:val="Lijstalinea"/>
        <w:numPr>
          <w:ilvl w:val="0"/>
          <w:numId w:val="25"/>
        </w:numPr>
        <w:jc w:val="both"/>
      </w:pPr>
      <w:r>
        <w:t>Process tank</w:t>
      </w:r>
      <w:r>
        <w:tab/>
      </w:r>
      <w:r>
        <w:tab/>
      </w:r>
      <w:r>
        <w:tab/>
      </w:r>
      <w:r>
        <w:tab/>
      </w:r>
      <w:r>
        <w:tab/>
        <w:t>10 m</w:t>
      </w:r>
      <w:r>
        <w:rPr>
          <w:vertAlign w:val="superscript"/>
        </w:rPr>
        <w:t>3</w:t>
      </w:r>
    </w:p>
    <w:p w:rsidR="00481FD4" w:rsidRDefault="00405508">
      <w:pPr>
        <w:pStyle w:val="Lijstalinea"/>
        <w:numPr>
          <w:ilvl w:val="0"/>
          <w:numId w:val="25"/>
        </w:numPr>
        <w:jc w:val="both"/>
      </w:pPr>
      <w:r>
        <w:t xml:space="preserve">Sludge generation </w:t>
      </w:r>
      <w:r>
        <w:tab/>
      </w:r>
      <w:r>
        <w:tab/>
      </w:r>
      <w:r>
        <w:tab/>
      </w:r>
      <w:r>
        <w:tab/>
        <w:t>8 l/hr = 6 m</w:t>
      </w:r>
      <w:r>
        <w:rPr>
          <w:vertAlign w:val="superscript"/>
        </w:rPr>
        <w:t>3</w:t>
      </w:r>
      <w:r>
        <w:t>/ month</w:t>
      </w:r>
    </w:p>
    <w:p w:rsidR="00481FD4" w:rsidRDefault="00405508">
      <w:pPr>
        <w:pStyle w:val="Lijstalinea"/>
        <w:numPr>
          <w:ilvl w:val="0"/>
          <w:numId w:val="25"/>
        </w:numPr>
        <w:jc w:val="both"/>
      </w:pPr>
      <w:r>
        <w:t>Caustic Soda Solution usage</w:t>
      </w:r>
      <w:r>
        <w:tab/>
      </w:r>
      <w:r>
        <w:tab/>
      </w:r>
      <w:r>
        <w:tab/>
        <w:t>1,5m³/day = 45 m³/month</w:t>
      </w:r>
    </w:p>
    <w:p w:rsidR="00481FD4" w:rsidRDefault="00405508">
      <w:pPr>
        <w:pStyle w:val="Lijstalinea"/>
        <w:numPr>
          <w:ilvl w:val="0"/>
          <w:numId w:val="25"/>
        </w:numPr>
        <w:jc w:val="both"/>
      </w:pPr>
      <w:r>
        <w:t>Additional freshwater consumption</w:t>
      </w:r>
      <w:r>
        <w:tab/>
      </w:r>
      <w:r>
        <w:tab/>
        <w:t>160 m³/hr = 4 m³/day</w:t>
      </w:r>
    </w:p>
    <w:p w:rsidR="00481FD4" w:rsidRDefault="00405508">
      <w:pPr>
        <w:jc w:val="both"/>
      </w:pPr>
      <w:r>
        <w:t>Af</w:t>
      </w:r>
      <w:r w:rsidR="00BE643B">
        <w:t xml:space="preserve">ter examining the ships drawings (see Appendix F – I) </w:t>
      </w:r>
      <w:r>
        <w:t xml:space="preserve"> and analyze the various data</w:t>
      </w:r>
      <w:r w:rsidR="00324712">
        <w:t xml:space="preserve"> above</w:t>
      </w:r>
      <w:r>
        <w:t xml:space="preserve">, it became clear no space is available to offer for the systems process, sludge and storage tanks. </w:t>
      </w:r>
      <w:r w:rsidR="00931579">
        <w:t xml:space="preserve">As these main components does not fit in the ships body, no further investigation will be done regarding space availability for the auxiliary equipment in and around the engine room. </w:t>
      </w:r>
      <w:r>
        <w:t xml:space="preserve">Considering the specific vessel type Sole 10.000, there is unfortunately not enough space to offer. </w:t>
      </w:r>
      <w:bookmarkStart w:id="34" w:name="_Toc446520400"/>
      <w:bookmarkStart w:id="35" w:name="_Toc447218172"/>
      <w:r>
        <w:t>Seen from a space technical perspective, the scrubber scenario is not feasible.</w:t>
      </w:r>
    </w:p>
    <w:p w:rsidR="00481FD4" w:rsidRDefault="00405508">
      <w:pPr>
        <w:jc w:val="both"/>
      </w:pPr>
      <w:r>
        <w:lastRenderedPageBreak/>
        <w:t>Finally, the closed loop system consumes each day</w:t>
      </w:r>
      <w:r w:rsidR="00D754FB">
        <w:t xml:space="preserve"> because of </w:t>
      </w:r>
      <w:proofErr w:type="spellStart"/>
      <w:r w:rsidR="00D754FB">
        <w:t>evapoartion</w:t>
      </w:r>
      <w:proofErr w:type="spellEnd"/>
      <w:r>
        <w:t xml:space="preserve"> about 4m³</w:t>
      </w:r>
      <w:r w:rsidR="0045630F">
        <w:t xml:space="preserve"> (= 0.05*(0.80*4MW)*24hr)</w:t>
      </w:r>
      <w:r>
        <w:t xml:space="preserve"> on top of the vessels daily freshwater consumption, which is about 3m³/day. The currently installed evaporator produces only 2m³/day. Wit</w:t>
      </w:r>
      <w:r w:rsidR="00945901">
        <w:t>h</w:t>
      </w:r>
      <w:r>
        <w:t xml:space="preserve"> a freshwater storage capacity of 80m³, the vessel would be able to sail a maximum of 16 days before it runs out of freshwater. Therefore it is neces</w:t>
      </w:r>
      <w:r w:rsidR="00945901">
        <w:t>sary to install an evaporator w</w:t>
      </w:r>
      <w:r>
        <w:t>it</w:t>
      </w:r>
      <w:r w:rsidR="00945901">
        <w:t>h</w:t>
      </w:r>
      <w:r>
        <w:t xml:space="preserve"> a higher production, what is again resulting in </w:t>
      </w:r>
      <w:r w:rsidR="00AA6A02">
        <w:t xml:space="preserve">these </w:t>
      </w:r>
      <w:r>
        <w:t>space restrictions.</w:t>
      </w:r>
    </w:p>
    <w:p w:rsidR="00481FD4" w:rsidRDefault="00405508">
      <w:pPr>
        <w:pStyle w:val="Kop2"/>
      </w:pPr>
      <w:bookmarkStart w:id="36" w:name="_Toc455838070"/>
      <w:r>
        <w:t>4.3 Power Availability</w:t>
      </w:r>
      <w:bookmarkEnd w:id="36"/>
    </w:p>
    <w:p w:rsidR="00481FD4" w:rsidRDefault="00405508">
      <w:pPr>
        <w:jc w:val="both"/>
      </w:pPr>
      <w:r>
        <w:t>To operate the scrubber system there is about 40kW (1% of the rated power of the main engine) needed from the generated power</w:t>
      </w:r>
      <w:r w:rsidR="00324712">
        <w:t xml:space="preserve"> onboard</w:t>
      </w:r>
      <w:r>
        <w:t>. The biggest part of this energy will be consumed by the pumps for t</w:t>
      </w:r>
      <w:r w:rsidR="00324712">
        <w:t xml:space="preserve">he circulation of the </w:t>
      </w:r>
      <w:proofErr w:type="spellStart"/>
      <w:r w:rsidR="00324712">
        <w:t>washwater</w:t>
      </w:r>
      <w:proofErr w:type="spellEnd"/>
      <w:r w:rsidR="00324712">
        <w:t xml:space="preserve">. </w:t>
      </w:r>
      <w:r>
        <w:t>During a standard sea passage, the average power consumption is only 150kW of the 450kW the shaft generator is able to produce.</w:t>
      </w:r>
      <w:r w:rsidR="008B337B">
        <w:t xml:space="preserve"> The main switchboard is equipped with spare connections and space for the necessary electrical components is available inside the electrical lockers.</w:t>
      </w:r>
      <w:r>
        <w:t xml:space="preserve"> Here, no limitations regarding power availability are expected to occur.</w:t>
      </w:r>
    </w:p>
    <w:p w:rsidR="00481FD4" w:rsidRDefault="00405508">
      <w:pPr>
        <w:jc w:val="both"/>
      </w:pPr>
      <w:r>
        <w:t>When having bad weather condition</w:t>
      </w:r>
      <w:r w:rsidR="00AA6A02">
        <w:t>s</w:t>
      </w:r>
      <w:r>
        <w:t>, the necessary electrical power is delivered by one auxiliary engine, as the frequency of the shaft generator is constantly changing</w:t>
      </w:r>
      <w:r w:rsidR="00324712">
        <w:t xml:space="preserve"> because of the altering load</w:t>
      </w:r>
      <w:r>
        <w:t>. Here again, no problem might occur due to a lack of power generation, as one generator is able to produce a maximum of 377kW. The generation of this extra 40kW will result in higher fuel consumption which is also taken into account when calculating the period of return on investment.</w:t>
      </w:r>
    </w:p>
    <w:p w:rsidR="00405508" w:rsidRDefault="00405508" w:rsidP="00405508">
      <w:pPr>
        <w:jc w:val="both"/>
      </w:pPr>
      <w:r>
        <w:t>As the main engine</w:t>
      </w:r>
      <w:r w:rsidR="00AA6A02">
        <w:t xml:space="preserve"> wit</w:t>
      </w:r>
      <w:r w:rsidR="00945901">
        <w:t>h</w:t>
      </w:r>
      <w:r w:rsidR="00AA6A02">
        <w:t xml:space="preserve"> his generator</w:t>
      </w:r>
      <w:r>
        <w:t xml:space="preserve"> is the only HFO</w:t>
      </w:r>
      <w:r w:rsidR="00C55CCC">
        <w:t xml:space="preserve"> consumer onboard of the vessel</w:t>
      </w:r>
      <w:r>
        <w:t xml:space="preserve"> type Sole 10.000, there is no need to discuss the power availability during port operations or on anchorage. Seen from a power technical perspective, the scrubber scenario is feasible. </w:t>
      </w:r>
    </w:p>
    <w:p w:rsidR="00481FD4" w:rsidRDefault="00405508">
      <w:pPr>
        <w:pStyle w:val="Kop2"/>
      </w:pPr>
      <w:bookmarkStart w:id="37" w:name="_Toc455838071"/>
      <w:r>
        <w:t>4.4 Economical Benefit</w:t>
      </w:r>
      <w:bookmarkEnd w:id="34"/>
      <w:bookmarkEnd w:id="35"/>
      <w:bookmarkEnd w:id="37"/>
    </w:p>
    <w:p w:rsidR="00481FD4" w:rsidRDefault="00405508">
      <w:pPr>
        <w:jc w:val="both"/>
      </w:pPr>
      <w:r>
        <w:t>In the following section, the scrubber alternative to the MGO case is considered from a financial perspective. The current spread between HFO and MGO will be assumed as a constant during the calculation, as speculating about future fuel prices is unreliable.</w:t>
      </w:r>
    </w:p>
    <w:p w:rsidR="00481FD4" w:rsidRDefault="00405508">
      <w:pPr>
        <w:jc w:val="both"/>
      </w:pPr>
      <w:r>
        <w:t xml:space="preserve">The average time spend inside an ECA </w:t>
      </w:r>
      <w:r w:rsidR="00627E45">
        <w:t xml:space="preserve">during a year </w:t>
      </w:r>
      <w:r>
        <w:t>is about</w:t>
      </w:r>
      <w:r w:rsidR="00627E45">
        <w:t xml:space="preserve"> 5% (maximum 10%). </w:t>
      </w:r>
      <w:r>
        <w:t xml:space="preserve"> Nowadays (07-03-'16) the price difference between HFO and MGO (in Houston) is 176$/ton</w:t>
      </w:r>
      <w:sdt>
        <w:sdtPr>
          <w:id w:val="94334114"/>
          <w:citation/>
        </w:sdtPr>
        <w:sdtContent>
          <w:r w:rsidR="003352B0">
            <w:fldChar w:fldCharType="begin"/>
          </w:r>
          <w:r w:rsidR="004D4B90">
            <w:instrText xml:space="preserve"> CITATION KVH16 \l 2067 </w:instrText>
          </w:r>
          <w:r w:rsidR="003352B0">
            <w:fldChar w:fldCharType="separate"/>
          </w:r>
          <w:r>
            <w:rPr>
              <w:noProof/>
            </w:rPr>
            <w:t xml:space="preserve"> (Group, 2016)</w:t>
          </w:r>
          <w:r w:rsidR="003352B0">
            <w:rPr>
              <w:noProof/>
            </w:rPr>
            <w:fldChar w:fldCharType="end"/>
          </w:r>
        </w:sdtContent>
      </w:sdt>
      <w:r>
        <w:t xml:space="preserve">. Calculated from the daily fuel consumption data sheets, the main engine </w:t>
      </w:r>
      <w:r w:rsidR="008B337B">
        <w:t>consumes about 15 tons MGO at 80%load (eco-speed)</w:t>
      </w:r>
      <w:r w:rsidR="00627E45">
        <w:t xml:space="preserve"> </w:t>
      </w:r>
      <w:r>
        <w:t>. This would result in an 'extra' fuel cost of: 14*176</w:t>
      </w:r>
      <w:r w:rsidR="00945901">
        <w:t>*15 = 36.960 $/year to comply w</w:t>
      </w:r>
      <w:r>
        <w:t>it</w:t>
      </w:r>
      <w:r w:rsidR="00945901">
        <w:t>h</w:t>
      </w:r>
      <w:r>
        <w:t xml:space="preserve"> the current MARPOL Regulations 14. </w:t>
      </w:r>
    </w:p>
    <w:p w:rsidR="00481FD4" w:rsidRDefault="00405508">
      <w:pPr>
        <w:jc w:val="both"/>
      </w:pPr>
      <w:r>
        <w:t xml:space="preserve">Based on the respective investment costs/capital expenses (CAPEX) and operating expenses (OPEX) to the retrofit option versus the added operational cost associated with the shift to MGO as required by the regulations, the return on investment (ROI) are calculated. The ROI results are presented as a function of the operating time inside ECAs as shown in Figure 5. This diagram was the result of a calculating process explained in an attached Excel file (see Excel file: 'ROI'). </w:t>
      </w:r>
    </w:p>
    <w:p w:rsidR="00AE2105" w:rsidRDefault="00405508" w:rsidP="00AE2105">
      <w:pPr>
        <w:jc w:val="both"/>
      </w:pPr>
      <w:r>
        <w:lastRenderedPageBreak/>
        <w:t>From this financial perspective, the scrubber alternative is potentially attractive when the vessel would operate a reasonable amount of time inside ECAs. The payback time is sensitive to the spread in fuel cost between HFO an MGO</w:t>
      </w:r>
      <w:r w:rsidR="00AE2105">
        <w:t>.</w:t>
      </w:r>
      <w:r w:rsidR="00AE2105" w:rsidRPr="00AE2105">
        <w:t xml:space="preserve"> </w:t>
      </w:r>
      <w:r w:rsidR="00AE2105">
        <w:t xml:space="preserve">For a cost differential of around 176 $/ton, the payback time is around 3,5 years for 100% ECA operation, 5 years  for 75% ECA, 7 years for 50% and 16 years for 25% ECA operation (see Figure 5). If a payback time of at most 4 years would be considered acceptable, then the time spend inside </w:t>
      </w:r>
      <w:r w:rsidR="003563AC">
        <w:t>ECA would have to be at least 90</w:t>
      </w:r>
      <w:r w:rsidR="00AE2105">
        <w:t xml:space="preserve">%; using </w:t>
      </w:r>
      <w:r w:rsidR="00024BD0">
        <w:t xml:space="preserve">this criterion in the case of </w:t>
      </w:r>
      <w:r w:rsidR="003563AC">
        <w:t>80</w:t>
      </w:r>
      <w:r w:rsidR="00AE2105">
        <w:t xml:space="preserve">% or less time spent inside ECA, it is more attractive to shift to MGO until the global </w:t>
      </w:r>
      <w:proofErr w:type="spellStart"/>
      <w:r w:rsidR="00AE2105">
        <w:t>sulphur</w:t>
      </w:r>
      <w:proofErr w:type="spellEnd"/>
      <w:r w:rsidR="00AE2105">
        <w:t xml:space="preserve"> cap enters into force in 2020/2025, and eventually it is also depending on the remaining commercial lifetime of the vessel.</w:t>
      </w:r>
    </w:p>
    <w:p w:rsidR="00481FD4" w:rsidRDefault="00481FD4">
      <w:pPr>
        <w:jc w:val="both"/>
      </w:pPr>
    </w:p>
    <w:p w:rsidR="00481FD4" w:rsidRDefault="00AE2105">
      <w:pPr>
        <w:keepNext/>
        <w:jc w:val="center"/>
      </w:pPr>
      <w:r w:rsidRPr="00AE2105">
        <w:rPr>
          <w:noProof/>
          <w:lang w:val="nl-BE" w:eastAsia="nl-BE"/>
        </w:rPr>
        <w:drawing>
          <wp:inline distT="0" distB="0" distL="0" distR="0">
            <wp:extent cx="5206093" cy="3767464"/>
            <wp:effectExtent l="19050" t="0" r="13607" b="4436"/>
            <wp:docPr id="2"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81FD4" w:rsidRDefault="00405508">
      <w:pPr>
        <w:pStyle w:val="Bijschrift"/>
        <w:jc w:val="center"/>
      </w:pPr>
      <w:r>
        <w:t xml:space="preserve">Figure </w:t>
      </w:r>
      <w:r w:rsidR="003352B0">
        <w:fldChar w:fldCharType="begin"/>
      </w:r>
      <w:r w:rsidR="004D4B90">
        <w:instrText xml:space="preserve"> SEQ Figuur \* ARABIC </w:instrText>
      </w:r>
      <w:r w:rsidR="003352B0">
        <w:fldChar w:fldCharType="separate"/>
      </w:r>
      <w:r w:rsidR="008B337B">
        <w:rPr>
          <w:noProof/>
        </w:rPr>
        <w:t>5</w:t>
      </w:r>
      <w:r w:rsidR="003352B0">
        <w:rPr>
          <w:noProof/>
        </w:rPr>
        <w:fldChar w:fldCharType="end"/>
      </w:r>
      <w:r>
        <w:t>: Return on Investments for CFL</w:t>
      </w:r>
      <w:bookmarkStart w:id="38" w:name="_Toc446520401"/>
      <w:bookmarkStart w:id="39" w:name="_Toc447218173"/>
    </w:p>
    <w:p w:rsidR="00481FD4" w:rsidRDefault="00405508">
      <w:pPr>
        <w:rPr>
          <w:rFonts w:asciiTheme="majorHAnsi" w:eastAsiaTheme="majorEastAsia" w:hAnsiTheme="majorHAnsi" w:cstheme="majorBidi"/>
          <w:b/>
          <w:bCs/>
          <w:color w:val="365F91" w:themeColor="accent1" w:themeShade="BF"/>
          <w:sz w:val="28"/>
          <w:szCs w:val="28"/>
        </w:rPr>
      </w:pPr>
      <w:r>
        <w:br w:type="page"/>
      </w:r>
    </w:p>
    <w:p w:rsidR="00481FD4" w:rsidRDefault="00405508">
      <w:pPr>
        <w:pStyle w:val="Kop1"/>
        <w:jc w:val="both"/>
      </w:pPr>
      <w:bookmarkStart w:id="40" w:name="_Toc455838072"/>
      <w:r>
        <w:lastRenderedPageBreak/>
        <w:t>5. Discussion</w:t>
      </w:r>
      <w:bookmarkEnd w:id="38"/>
      <w:bookmarkEnd w:id="39"/>
      <w:bookmarkEnd w:id="40"/>
    </w:p>
    <w:p w:rsidR="00481FD4" w:rsidRDefault="00405508">
      <w:pPr>
        <w:jc w:val="both"/>
      </w:pPr>
      <w:r>
        <w:t xml:space="preserve">The choice of retrofitting </w:t>
      </w:r>
      <w:r w:rsidR="009A4312">
        <w:t>a scrubber system on the vessel</w:t>
      </w:r>
      <w:r>
        <w:t xml:space="preserve"> type Sole 10.000 depends on technical, operational and financial considerations. From a technical and financial perspective, the base case of shifting to MGO to comply with future </w:t>
      </w:r>
      <w:proofErr w:type="spellStart"/>
      <w:r>
        <w:t>SOx</w:t>
      </w:r>
      <w:proofErr w:type="spellEnd"/>
      <w:r>
        <w:t xml:space="preserve"> regulations should not present any major issues, provided due consideration is given to fuel cooling, renewal of some rubber seals of the fuel delivery system and proper lubrication oil for the main engine under prolonged operation; no other vessel modifications are necessary at this moment. From 2020/2025 is might be necessary to convert more HFO storage tanks to MGO storage tanks, </w:t>
      </w:r>
      <w:r w:rsidR="00BE472D">
        <w:t>to be able to comply with the</w:t>
      </w:r>
      <w:r>
        <w:t xml:space="preserve"> global MARPOL </w:t>
      </w:r>
      <w:proofErr w:type="spellStart"/>
      <w:r>
        <w:t>sulphur</w:t>
      </w:r>
      <w:proofErr w:type="spellEnd"/>
      <w:r>
        <w:t xml:space="preserve"> regulations.</w:t>
      </w:r>
    </w:p>
    <w:p w:rsidR="00BD4DE4" w:rsidRDefault="00BD4DE4">
      <w:pPr>
        <w:jc w:val="both"/>
      </w:pPr>
      <w:r>
        <w:t xml:space="preserve">For retrofit installations the engine exhaust system casing modifications together with space for new pumps and piping systems, including new sea chest and overboard discharges, plus space for the alkaline material storage and wastewater processing can mean significant space requirements. This space </w:t>
      </w:r>
      <w:r w:rsidR="00BE472D">
        <w:t xml:space="preserve">is not </w:t>
      </w:r>
      <w:r>
        <w:t xml:space="preserve"> available in </w:t>
      </w:r>
      <w:r w:rsidR="00BE472D">
        <w:t>the existing engine room and</w:t>
      </w:r>
      <w:r>
        <w:t xml:space="preserve"> </w:t>
      </w:r>
      <w:r w:rsidR="00BE472D">
        <w:t>r</w:t>
      </w:r>
      <w:r>
        <w:t xml:space="preserve">etrofitting a scrubber </w:t>
      </w:r>
      <w:r w:rsidR="00BE472D">
        <w:t xml:space="preserve">will </w:t>
      </w:r>
      <w:r>
        <w:t>require a significant out of service period</w:t>
      </w:r>
      <w:r w:rsidR="00BE472D">
        <w:t>.</w:t>
      </w:r>
    </w:p>
    <w:p w:rsidR="00481FD4" w:rsidRDefault="00405508">
      <w:pPr>
        <w:jc w:val="both"/>
      </w:pPr>
      <w:r>
        <w:t xml:space="preserve">As the exhaust gas cleaning techniques are continuously developing, manufacturers might invent </w:t>
      </w:r>
      <w:r w:rsidR="00945901">
        <w:t>systems on a short term base, w</w:t>
      </w:r>
      <w:r>
        <w:t>it</w:t>
      </w:r>
      <w:r w:rsidR="00945901">
        <w:t>h</w:t>
      </w:r>
      <w:r>
        <w:t xml:space="preserve"> similar ecological purposes but smaller in size and easier to purchase from a financial perspective.</w:t>
      </w:r>
    </w:p>
    <w:p w:rsidR="00481FD4" w:rsidRDefault="00405508">
      <w:pPr>
        <w:keepNext/>
        <w:jc w:val="both"/>
      </w:pPr>
      <w:r>
        <w:t xml:space="preserve">As shown in Figure 6, speculating about future fuel prices is very difficult. This figure shows the crude oil prices during the period 2003 - 2015. This is an important factor when choosing a way to be able to comply with the future MARPOL Regulations. </w:t>
      </w:r>
    </w:p>
    <w:p w:rsidR="00481FD4" w:rsidRDefault="00481FD4">
      <w:pPr>
        <w:keepNext/>
      </w:pPr>
    </w:p>
    <w:p w:rsidR="00481FD4" w:rsidRDefault="00405508">
      <w:pPr>
        <w:keepNext/>
        <w:jc w:val="center"/>
      </w:pPr>
      <w:r>
        <w:rPr>
          <w:noProof/>
          <w:lang w:val="nl-BE" w:eastAsia="nl-BE"/>
        </w:rPr>
        <w:drawing>
          <wp:inline distT="0" distB="0" distL="0" distR="0">
            <wp:extent cx="4298950" cy="2129155"/>
            <wp:effectExtent l="19050" t="0" r="6350" b="0"/>
            <wp:docPr id="1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298950" cy="2129155"/>
                    </a:xfrm>
                    <a:prstGeom prst="rect">
                      <a:avLst/>
                    </a:prstGeom>
                    <a:noFill/>
                    <a:ln w="9525">
                      <a:noFill/>
                      <a:miter lim="800000"/>
                      <a:headEnd/>
                      <a:tailEnd/>
                    </a:ln>
                  </pic:spPr>
                </pic:pic>
              </a:graphicData>
            </a:graphic>
          </wp:inline>
        </w:drawing>
      </w:r>
    </w:p>
    <w:p w:rsidR="00481FD4" w:rsidRDefault="00405508">
      <w:pPr>
        <w:pStyle w:val="Bijschrift"/>
        <w:jc w:val="center"/>
      </w:pPr>
      <w:r>
        <w:t xml:space="preserve">Figure </w:t>
      </w:r>
      <w:r w:rsidR="003352B0">
        <w:fldChar w:fldCharType="begin"/>
      </w:r>
      <w:r w:rsidR="004D4B90">
        <w:instrText xml:space="preserve"> SEQ Figuur \* ARABIC </w:instrText>
      </w:r>
      <w:r w:rsidR="003352B0">
        <w:fldChar w:fldCharType="separate"/>
      </w:r>
      <w:r w:rsidR="008B337B">
        <w:rPr>
          <w:noProof/>
        </w:rPr>
        <w:t>6</w:t>
      </w:r>
      <w:r w:rsidR="003352B0">
        <w:rPr>
          <w:noProof/>
        </w:rPr>
        <w:fldChar w:fldCharType="end"/>
      </w:r>
      <w:r>
        <w:t>: Crude oil prices from 2003 until 2015</w:t>
      </w:r>
      <w:sdt>
        <w:sdtPr>
          <w:id w:val="34124143"/>
          <w:citation/>
        </w:sdtPr>
        <w:sdtContent>
          <w:r w:rsidR="003352B0">
            <w:fldChar w:fldCharType="begin"/>
          </w:r>
          <w:r w:rsidR="004D4B90">
            <w:instrText xml:space="preserve"> CITATION Ira15 \l 2067 </w:instrText>
          </w:r>
          <w:r w:rsidR="003352B0">
            <w:fldChar w:fldCharType="separate"/>
          </w:r>
          <w:r>
            <w:rPr>
              <w:noProof/>
            </w:rPr>
            <w:t xml:space="preserve"> (Panasiuk I. , 2015)</w:t>
          </w:r>
          <w:r w:rsidR="003352B0">
            <w:rPr>
              <w:noProof/>
            </w:rPr>
            <w:fldChar w:fldCharType="end"/>
          </w:r>
        </w:sdtContent>
      </w:sdt>
    </w:p>
    <w:p w:rsidR="00481FD4" w:rsidRDefault="00405508">
      <w:pPr>
        <w:rPr>
          <w:rFonts w:asciiTheme="majorHAnsi" w:eastAsiaTheme="majorEastAsia" w:hAnsiTheme="majorHAnsi" w:cstheme="majorBidi"/>
          <w:b/>
          <w:bCs/>
          <w:color w:val="365F91" w:themeColor="accent1" w:themeShade="BF"/>
          <w:sz w:val="28"/>
          <w:szCs w:val="28"/>
        </w:rPr>
      </w:pPr>
      <w:bookmarkStart w:id="41" w:name="_Toc446520402"/>
      <w:bookmarkStart w:id="42" w:name="_Toc447218174"/>
      <w:r>
        <w:br w:type="page"/>
      </w:r>
    </w:p>
    <w:p w:rsidR="00481FD4" w:rsidRDefault="00405508">
      <w:pPr>
        <w:pStyle w:val="Kop1"/>
        <w:jc w:val="both"/>
      </w:pPr>
      <w:bookmarkStart w:id="43" w:name="_Toc455838073"/>
      <w:r>
        <w:lastRenderedPageBreak/>
        <w:t>6. Conclusions and Recommendations</w:t>
      </w:r>
      <w:bookmarkEnd w:id="41"/>
      <w:bookmarkEnd w:id="42"/>
      <w:bookmarkEnd w:id="43"/>
    </w:p>
    <w:p w:rsidR="00481FD4" w:rsidRDefault="00405508">
      <w:pPr>
        <w:jc w:val="both"/>
      </w:pPr>
      <w:r>
        <w:t>Retrofitting the complete scrubber installation into the vessels original body is not possible. Even after a conversion of the exhaust gas casing to fit the scrubbing tower, there is still not enough place available to install the auxiliary equipment of the exhaust gas cleaning system. From a technical point of view it is not feasible to install the scrubber installation onboard of a Sole 10.000.</w:t>
      </w:r>
    </w:p>
    <w:p w:rsidR="003563AC" w:rsidRDefault="003563AC">
      <w:pPr>
        <w:jc w:val="both"/>
      </w:pPr>
      <w:r>
        <w:t>The payback period of the scrubber is primarily sensitive to the price spread between HFO and MGO and not less sensitive to CAPEX and the absolute HFO price. 100% and 50% ECA operation give a payback period of respectively four and seven years, assuming an HFO-MGO spread of 176 USD/ton.</w:t>
      </w:r>
    </w:p>
    <w:p w:rsidR="00481FD4" w:rsidRDefault="009A4312">
      <w:pPr>
        <w:jc w:val="both"/>
        <w:rPr>
          <w:rFonts w:asciiTheme="majorHAnsi" w:eastAsiaTheme="majorEastAsia" w:hAnsiTheme="majorHAnsi" w:cstheme="majorBidi"/>
          <w:b/>
          <w:bCs/>
          <w:color w:val="365F91" w:themeColor="accent1" w:themeShade="BF"/>
          <w:sz w:val="28"/>
          <w:szCs w:val="28"/>
        </w:rPr>
      </w:pPr>
      <w:r>
        <w:t>For the vessel</w:t>
      </w:r>
      <w:r w:rsidR="00405508">
        <w:t xml:space="preserve"> type Sole 10.000 with 5% (maximum 10%) ECA operation nowadays, the payback periods will be very long, and the most favorable for CFL from an economical point of view will be to switch to </w:t>
      </w:r>
      <w:r w:rsidR="00945901">
        <w:t>MGO when operating in an ECA. W</w:t>
      </w:r>
      <w:r w:rsidR="00405508">
        <w:t>i</w:t>
      </w:r>
      <w:r>
        <w:t>t</w:t>
      </w:r>
      <w:r w:rsidR="00945901">
        <w:t>h</w:t>
      </w:r>
      <w:r w:rsidR="003563AC">
        <w:t xml:space="preserve"> an ECA operation of more than 90</w:t>
      </w:r>
      <w:r w:rsidR="00405508">
        <w:t>% and depending on the remaining commercial lifetime of the vessel, it is recommended to CFL to search for a similar alternative as the scrubber installation but which has an applicable footprint and a more attractive economical profile.</w:t>
      </w:r>
    </w:p>
    <w:p w:rsidR="00481FD4" w:rsidRDefault="00405508">
      <w:pPr>
        <w:rPr>
          <w:rFonts w:asciiTheme="majorHAnsi" w:eastAsiaTheme="majorEastAsia" w:hAnsiTheme="majorHAnsi" w:cstheme="majorBidi"/>
          <w:b/>
          <w:bCs/>
          <w:color w:val="365F91" w:themeColor="accent1" w:themeShade="BF"/>
          <w:sz w:val="28"/>
          <w:szCs w:val="28"/>
        </w:rPr>
      </w:pPr>
      <w:r>
        <w:br w:type="page"/>
      </w:r>
    </w:p>
    <w:p w:rsidR="00481FD4" w:rsidRDefault="00405508">
      <w:pPr>
        <w:pStyle w:val="Kop1"/>
      </w:pPr>
      <w:bookmarkStart w:id="44" w:name="_Toc455838074"/>
      <w:r>
        <w:lastRenderedPageBreak/>
        <w:t>References</w:t>
      </w:r>
      <w:bookmarkEnd w:id="44"/>
    </w:p>
    <w:p w:rsidR="000D4530" w:rsidRDefault="003352B0" w:rsidP="000D4530">
      <w:pPr>
        <w:pStyle w:val="Bibliografie"/>
        <w:rPr>
          <w:noProof/>
        </w:rPr>
      </w:pPr>
      <w:r w:rsidRPr="003352B0">
        <w:fldChar w:fldCharType="begin"/>
      </w:r>
      <w:r w:rsidR="00405508">
        <w:instrText xml:space="preserve"> BIBLIOGRAPHY  \l 2067 </w:instrText>
      </w:r>
      <w:r w:rsidRPr="003352B0">
        <w:fldChar w:fldCharType="separate"/>
      </w:r>
      <w:r w:rsidR="000D4530">
        <w:rPr>
          <w:noProof/>
        </w:rPr>
        <w:t xml:space="preserve">ABS. (2013). </w:t>
      </w:r>
      <w:r w:rsidR="000D4530">
        <w:rPr>
          <w:i/>
          <w:iCs/>
          <w:noProof/>
        </w:rPr>
        <w:t>Exhaust Gas Scrubber Systems Advisory.</w:t>
      </w:r>
      <w:r w:rsidR="000D4530">
        <w:rPr>
          <w:noProof/>
        </w:rPr>
        <w:t xml:space="preserve"> ABS.</w:t>
      </w:r>
    </w:p>
    <w:p w:rsidR="000D4530" w:rsidRDefault="000D4530" w:rsidP="000D4530">
      <w:pPr>
        <w:pStyle w:val="Bibliografie"/>
        <w:rPr>
          <w:noProof/>
        </w:rPr>
      </w:pPr>
      <w:r>
        <w:rPr>
          <w:noProof/>
        </w:rPr>
        <w:t xml:space="preserve">Austin, C. (2015). </w:t>
      </w:r>
      <w:r>
        <w:rPr>
          <w:i/>
          <w:iCs/>
          <w:noProof/>
        </w:rPr>
        <w:t>Marine Scrubbers: The Guide 2015.</w:t>
      </w:r>
      <w:r>
        <w:rPr>
          <w:noProof/>
        </w:rPr>
        <w:t xml:space="preserve"> Berkshire: Fathom.</w:t>
      </w:r>
    </w:p>
    <w:p w:rsidR="000D4530" w:rsidRDefault="000D4530" w:rsidP="000D4530">
      <w:pPr>
        <w:pStyle w:val="Bibliografie"/>
        <w:rPr>
          <w:noProof/>
        </w:rPr>
      </w:pPr>
      <w:r>
        <w:rPr>
          <w:noProof/>
        </w:rPr>
        <w:t xml:space="preserve">Brouwer, B. (2014). </w:t>
      </w:r>
      <w:r>
        <w:rPr>
          <w:i/>
          <w:iCs/>
          <w:noProof/>
        </w:rPr>
        <w:t>In-depth assignment.</w:t>
      </w:r>
      <w:r>
        <w:rPr>
          <w:noProof/>
        </w:rPr>
        <w:t xml:space="preserve"> Anthony Veder.</w:t>
      </w:r>
    </w:p>
    <w:p w:rsidR="000D4530" w:rsidRPr="00360504" w:rsidRDefault="000D4530" w:rsidP="000D4530">
      <w:pPr>
        <w:pStyle w:val="Bibliografie"/>
        <w:rPr>
          <w:noProof/>
          <w:lang w:val="nl-BE"/>
        </w:rPr>
      </w:pPr>
      <w:r w:rsidRPr="00360504">
        <w:rPr>
          <w:noProof/>
          <w:lang w:val="nl-BE"/>
        </w:rPr>
        <w:t xml:space="preserve">CFL. (sd). </w:t>
      </w:r>
      <w:r w:rsidRPr="00360504">
        <w:rPr>
          <w:i/>
          <w:iCs/>
          <w:noProof/>
          <w:lang w:val="nl-BE"/>
        </w:rPr>
        <w:t>Fleet</w:t>
      </w:r>
      <w:r w:rsidRPr="00360504">
        <w:rPr>
          <w:noProof/>
          <w:lang w:val="nl-BE"/>
        </w:rPr>
        <w:t>. Opgehaald van Canada Feeder Lines: https://www.cfl.nl/content/fleet/over-onze-vloot-1</w:t>
      </w:r>
    </w:p>
    <w:p w:rsidR="000D4530" w:rsidRDefault="000D4530" w:rsidP="000D4530">
      <w:pPr>
        <w:pStyle w:val="Bibliografie"/>
        <w:rPr>
          <w:noProof/>
        </w:rPr>
      </w:pPr>
      <w:r>
        <w:rPr>
          <w:noProof/>
        </w:rPr>
        <w:t>CIMAC. (2013). Guideline for the operation of marine engines on low sulphur diesel.</w:t>
      </w:r>
    </w:p>
    <w:p w:rsidR="000D4530" w:rsidRDefault="000D4530" w:rsidP="000D4530">
      <w:pPr>
        <w:pStyle w:val="Bibliografie"/>
        <w:rPr>
          <w:noProof/>
        </w:rPr>
      </w:pPr>
      <w:r>
        <w:rPr>
          <w:noProof/>
        </w:rPr>
        <w:t>Delft, C. (sd). Scrubber - An Economic and Ecological Assessment . 2015.</w:t>
      </w:r>
    </w:p>
    <w:p w:rsidR="000D4530" w:rsidRDefault="000D4530" w:rsidP="000D4530">
      <w:pPr>
        <w:pStyle w:val="Bibliografie"/>
        <w:rPr>
          <w:noProof/>
        </w:rPr>
      </w:pPr>
      <w:r>
        <w:rPr>
          <w:noProof/>
        </w:rPr>
        <w:t xml:space="preserve">Diks, R. (2014). </w:t>
      </w:r>
      <w:r>
        <w:rPr>
          <w:i/>
          <w:iCs/>
          <w:noProof/>
        </w:rPr>
        <w:t>Deciding your route to SOx compliance.</w:t>
      </w:r>
      <w:r>
        <w:rPr>
          <w:noProof/>
        </w:rPr>
        <w:t xml:space="preserve"> Alfa Laval.</w:t>
      </w:r>
    </w:p>
    <w:p w:rsidR="000D4530" w:rsidRDefault="000D4530" w:rsidP="000D4530">
      <w:pPr>
        <w:pStyle w:val="Bibliografie"/>
        <w:rPr>
          <w:noProof/>
        </w:rPr>
      </w:pPr>
      <w:r>
        <w:rPr>
          <w:noProof/>
        </w:rPr>
        <w:t>DNV. (2012). Maritime Fuel Price and Uptake Projections to 2035, DNV Research &amp; Innovation.</w:t>
      </w:r>
    </w:p>
    <w:p w:rsidR="000D4530" w:rsidRDefault="000D4530" w:rsidP="000D4530">
      <w:pPr>
        <w:pStyle w:val="Bibliografie"/>
        <w:rPr>
          <w:noProof/>
        </w:rPr>
      </w:pPr>
      <w:r>
        <w:rPr>
          <w:noProof/>
        </w:rPr>
        <w:t>EGCSA. (2011). Exhaust Gas Cleaning Systems Selection Guide.</w:t>
      </w:r>
    </w:p>
    <w:p w:rsidR="000D4530" w:rsidRPr="00360504" w:rsidRDefault="000D4530" w:rsidP="000D4530">
      <w:pPr>
        <w:pStyle w:val="Bibliografie"/>
        <w:rPr>
          <w:noProof/>
          <w:lang w:val="nl-BE"/>
        </w:rPr>
      </w:pPr>
      <w:r>
        <w:rPr>
          <w:noProof/>
        </w:rPr>
        <w:t xml:space="preserve">GmbH&amp;Ko, V. (2011, January 10). </w:t>
      </w:r>
      <w:r>
        <w:rPr>
          <w:i/>
          <w:iCs/>
          <w:noProof/>
        </w:rPr>
        <w:t>Caustic Soda Solution (NaOH 50%)</w:t>
      </w:r>
      <w:r>
        <w:rPr>
          <w:noProof/>
        </w:rPr>
        <w:t xml:space="preserve">. </w:t>
      </w:r>
      <w:r w:rsidRPr="00360504">
        <w:rPr>
          <w:noProof/>
          <w:lang w:val="nl-BE"/>
        </w:rPr>
        <w:t>Opgeroepen op April 5, 2016, van www.vinnolit.com.</w:t>
      </w:r>
    </w:p>
    <w:p w:rsidR="000D4530" w:rsidRDefault="000D4530" w:rsidP="000D4530">
      <w:pPr>
        <w:pStyle w:val="Bibliografie"/>
        <w:rPr>
          <w:noProof/>
        </w:rPr>
      </w:pPr>
      <w:r w:rsidRPr="00360504">
        <w:rPr>
          <w:noProof/>
          <w:lang w:val="nl-BE"/>
        </w:rPr>
        <w:t xml:space="preserve">Group, K. M. (2016, 03 07). </w:t>
      </w:r>
      <w:r>
        <w:rPr>
          <w:noProof/>
        </w:rPr>
        <w:t xml:space="preserve">Bunker Prices. </w:t>
      </w:r>
      <w:r>
        <w:rPr>
          <w:i/>
          <w:iCs/>
          <w:noProof/>
        </w:rPr>
        <w:t>Maritime News</w:t>
      </w:r>
      <w:r>
        <w:rPr>
          <w:noProof/>
        </w:rPr>
        <w:t xml:space="preserve"> , p. 1.</w:t>
      </w:r>
    </w:p>
    <w:p w:rsidR="000D4530" w:rsidRDefault="000D4530" w:rsidP="000D4530">
      <w:pPr>
        <w:pStyle w:val="Bibliografie"/>
        <w:rPr>
          <w:noProof/>
        </w:rPr>
      </w:pPr>
      <w:r>
        <w:rPr>
          <w:noProof/>
        </w:rPr>
        <w:t xml:space="preserve">Hombravella, A., Kilicaslan, A., Péralès, J., &amp; Rüss, C. (2011). </w:t>
      </w:r>
      <w:r>
        <w:rPr>
          <w:i/>
          <w:iCs/>
          <w:noProof/>
        </w:rPr>
        <w:t>Study of Exhaust Gas Cleaning Systems for vessels to fulfill IMO III in 2016.</w:t>
      </w:r>
      <w:r>
        <w:rPr>
          <w:noProof/>
        </w:rPr>
        <w:t xml:space="preserve"> </w:t>
      </w:r>
    </w:p>
    <w:p w:rsidR="000D4530" w:rsidRDefault="000D4530" w:rsidP="000D4530">
      <w:pPr>
        <w:pStyle w:val="Bibliografie"/>
        <w:rPr>
          <w:noProof/>
        </w:rPr>
      </w:pPr>
      <w:r w:rsidRPr="00360504">
        <w:rPr>
          <w:noProof/>
          <w:lang w:val="nl-BE"/>
        </w:rPr>
        <w:t xml:space="preserve">Klimt-Mollenbach, C., Schack, C., Eefsen, T., &amp; De Kat, J. (2012). </w:t>
      </w:r>
      <w:r>
        <w:rPr>
          <w:i/>
          <w:iCs/>
          <w:noProof/>
        </w:rPr>
        <w:t>Green ship of the future.</w:t>
      </w:r>
      <w:r>
        <w:rPr>
          <w:noProof/>
        </w:rPr>
        <w:t xml:space="preserve"> Greenship.</w:t>
      </w:r>
    </w:p>
    <w:p w:rsidR="000D4530" w:rsidRPr="00360504" w:rsidRDefault="000D4530" w:rsidP="000D4530">
      <w:pPr>
        <w:pStyle w:val="Bibliografie"/>
        <w:rPr>
          <w:noProof/>
          <w:lang w:val="nl-BE"/>
        </w:rPr>
      </w:pPr>
      <w:r>
        <w:rPr>
          <w:noProof/>
        </w:rPr>
        <w:t xml:space="preserve">Laval, A. (2015). </w:t>
      </w:r>
      <w:r>
        <w:rPr>
          <w:i/>
          <w:iCs/>
          <w:noProof/>
        </w:rPr>
        <w:t>ECA zones</w:t>
      </w:r>
      <w:r>
        <w:rPr>
          <w:noProof/>
        </w:rPr>
        <w:t xml:space="preserve">. </w:t>
      </w:r>
      <w:r w:rsidRPr="00360504">
        <w:rPr>
          <w:noProof/>
          <w:lang w:val="nl-BE"/>
        </w:rPr>
        <w:t>Opgeroepen op maart 23, 2016, van Alfa Laval: http://www.alfalaval.com</w:t>
      </w:r>
    </w:p>
    <w:p w:rsidR="000D4530" w:rsidRDefault="000D4530" w:rsidP="000D4530">
      <w:pPr>
        <w:pStyle w:val="Bibliografie"/>
        <w:rPr>
          <w:noProof/>
        </w:rPr>
      </w:pPr>
      <w:r>
        <w:rPr>
          <w:noProof/>
        </w:rPr>
        <w:t>Panasiuk, I. (2014). Selection of Exhaust Scrubber: Concept for Optimal Solution. Klaipeda University, Lithuania.</w:t>
      </w:r>
    </w:p>
    <w:p w:rsidR="000D4530" w:rsidRPr="00360504" w:rsidRDefault="000D4530" w:rsidP="000D4530">
      <w:pPr>
        <w:pStyle w:val="Bibliografie"/>
        <w:rPr>
          <w:noProof/>
          <w:lang w:val="nl-BE"/>
        </w:rPr>
      </w:pPr>
      <w:r>
        <w:rPr>
          <w:noProof/>
        </w:rPr>
        <w:t xml:space="preserve">Panasiuk, I. (2015). The evaluation of investments efficiency of SOx scrubber installation. </w:t>
      </w:r>
      <w:r w:rsidRPr="00360504">
        <w:rPr>
          <w:noProof/>
          <w:lang w:val="nl-BE"/>
        </w:rPr>
        <w:t>10.</w:t>
      </w:r>
    </w:p>
    <w:p w:rsidR="000D4530" w:rsidRPr="00360504" w:rsidRDefault="000D4530" w:rsidP="000D4530">
      <w:pPr>
        <w:pStyle w:val="Bibliografie"/>
        <w:rPr>
          <w:noProof/>
          <w:lang w:val="nl-BE"/>
        </w:rPr>
      </w:pPr>
      <w:r w:rsidRPr="00360504">
        <w:rPr>
          <w:noProof/>
          <w:lang w:val="nl-BE"/>
        </w:rPr>
        <w:t>Ship&amp;Bunker. (2016, feb). Opgeroepen op 2016, van Ship and Bunker: http://shipandbunker.com/prices/emea/nwe/nl-rtm-rotterdam#LSMGO</w:t>
      </w:r>
    </w:p>
    <w:p w:rsidR="00481FD4" w:rsidRDefault="003352B0" w:rsidP="000D4530">
      <w:pPr>
        <w:pStyle w:val="Kop1"/>
        <w:jc w:val="both"/>
        <w:rPr>
          <w:lang w:val="nl-NL"/>
        </w:rPr>
      </w:pPr>
      <w:r>
        <w:fldChar w:fldCharType="end"/>
      </w:r>
    </w:p>
    <w:p w:rsidR="00481FD4" w:rsidRDefault="00405508">
      <w:pPr>
        <w:rPr>
          <w:rFonts w:asciiTheme="majorHAnsi" w:eastAsiaTheme="majorEastAsia" w:hAnsiTheme="majorHAnsi" w:cstheme="majorBidi"/>
          <w:color w:val="365F91" w:themeColor="accent1" w:themeShade="BF"/>
          <w:sz w:val="28"/>
          <w:szCs w:val="28"/>
          <w:lang w:val="nl-NL"/>
        </w:rPr>
      </w:pPr>
      <w:r>
        <w:rPr>
          <w:lang w:val="nl-NL"/>
        </w:rPr>
        <w:br w:type="page"/>
      </w:r>
    </w:p>
    <w:p w:rsidR="00481FD4" w:rsidRDefault="00405508">
      <w:pPr>
        <w:pStyle w:val="Kop1"/>
      </w:pPr>
      <w:bookmarkStart w:id="45" w:name="_Toc455838075"/>
      <w:r>
        <w:lastRenderedPageBreak/>
        <w:t>Appendix A: Ship Particulars</w:t>
      </w:r>
      <w:bookmarkEnd w:id="45"/>
    </w:p>
    <w:p w:rsidR="00481FD4" w:rsidRDefault="00405508">
      <w:r>
        <w:rPr>
          <w:noProof/>
          <w:lang w:val="nl-BE" w:eastAsia="nl-BE"/>
        </w:rPr>
        <w:drawing>
          <wp:anchor distT="0" distB="0" distL="114300" distR="114300" simplePos="0" relativeHeight="251661312" behindDoc="0" locked="0" layoutInCell="1" allowOverlap="1">
            <wp:simplePos x="0" y="0"/>
            <wp:positionH relativeFrom="column">
              <wp:posOffset>-628015</wp:posOffset>
            </wp:positionH>
            <wp:positionV relativeFrom="paragraph">
              <wp:posOffset>1193800</wp:posOffset>
            </wp:positionV>
            <wp:extent cx="7528560" cy="5261610"/>
            <wp:effectExtent l="0" t="1143000" r="0" b="112014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rot="16200000">
                      <a:off x="0" y="0"/>
                      <a:ext cx="7528560" cy="5261610"/>
                    </a:xfrm>
                    <a:prstGeom prst="rect">
                      <a:avLst/>
                    </a:prstGeom>
                    <a:noFill/>
                    <a:ln w="9525">
                      <a:noFill/>
                      <a:miter lim="800000"/>
                      <a:headEnd/>
                      <a:tailEnd/>
                    </a:ln>
                  </pic:spPr>
                </pic:pic>
              </a:graphicData>
            </a:graphic>
          </wp:anchor>
        </w:drawing>
      </w:r>
    </w:p>
    <w:p w:rsidR="00481FD4" w:rsidRDefault="00481FD4">
      <w:pPr>
        <w:jc w:val="center"/>
      </w:pPr>
    </w:p>
    <w:p w:rsidR="00481FD4" w:rsidRDefault="00405508">
      <w:pPr>
        <w:rPr>
          <w:rFonts w:asciiTheme="majorHAnsi" w:eastAsiaTheme="majorEastAsia" w:hAnsiTheme="majorHAnsi" w:cstheme="majorBidi"/>
          <w:b/>
          <w:bCs/>
          <w:color w:val="365F91" w:themeColor="accent1" w:themeShade="BF"/>
          <w:sz w:val="28"/>
          <w:szCs w:val="28"/>
        </w:rPr>
      </w:pPr>
      <w:r>
        <w:br w:type="page"/>
      </w:r>
    </w:p>
    <w:p w:rsidR="00481FD4" w:rsidRDefault="00405508">
      <w:pPr>
        <w:pStyle w:val="Kop1"/>
      </w:pPr>
      <w:bookmarkStart w:id="46" w:name="_Toc455838076"/>
      <w:r>
        <w:lastRenderedPageBreak/>
        <w:t>Appendix B: Main Engine Data</w:t>
      </w:r>
      <w:bookmarkEnd w:id="46"/>
    </w:p>
    <w:p w:rsidR="00481FD4" w:rsidRDefault="00481FD4"/>
    <w:p w:rsidR="00481FD4" w:rsidRDefault="00405508">
      <w:pPr>
        <w:jc w:val="center"/>
      </w:pPr>
      <w:r>
        <w:rPr>
          <w:noProof/>
          <w:lang w:val="nl-BE" w:eastAsia="nl-BE"/>
        </w:rPr>
        <w:drawing>
          <wp:inline distT="0" distB="0" distL="0" distR="0">
            <wp:extent cx="6105525" cy="3728565"/>
            <wp:effectExtent l="19050" t="0" r="952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6105525" cy="3728565"/>
                    </a:xfrm>
                    <a:prstGeom prst="rect">
                      <a:avLst/>
                    </a:prstGeom>
                    <a:noFill/>
                    <a:ln w="9525">
                      <a:noFill/>
                      <a:miter lim="800000"/>
                      <a:headEnd/>
                      <a:tailEnd/>
                    </a:ln>
                  </pic:spPr>
                </pic:pic>
              </a:graphicData>
            </a:graphic>
          </wp:inline>
        </w:drawing>
      </w:r>
    </w:p>
    <w:p w:rsidR="00481FD4" w:rsidRDefault="00481FD4">
      <w:pPr>
        <w:pStyle w:val="Kop1"/>
      </w:pPr>
    </w:p>
    <w:p w:rsidR="00481FD4" w:rsidRDefault="00405508">
      <w:pPr>
        <w:rPr>
          <w:rFonts w:asciiTheme="majorHAnsi" w:eastAsiaTheme="majorEastAsia" w:hAnsiTheme="majorHAnsi" w:cstheme="majorBidi"/>
          <w:b/>
          <w:bCs/>
          <w:color w:val="365F91" w:themeColor="accent1" w:themeShade="BF"/>
          <w:sz w:val="28"/>
          <w:szCs w:val="28"/>
        </w:rPr>
      </w:pPr>
      <w:bookmarkStart w:id="47" w:name="_Toc447218178"/>
      <w:r>
        <w:br w:type="page"/>
      </w:r>
    </w:p>
    <w:p w:rsidR="00481FD4" w:rsidRDefault="00405508">
      <w:pPr>
        <w:pStyle w:val="Kop1"/>
      </w:pPr>
      <w:bookmarkStart w:id="48" w:name="_Toc455838077"/>
      <w:r>
        <w:lastRenderedPageBreak/>
        <w:t>Appendix C: Casing Adjustments - View from the top</w:t>
      </w:r>
      <w:bookmarkEnd w:id="47"/>
      <w:bookmarkEnd w:id="48"/>
    </w:p>
    <w:p w:rsidR="00481FD4" w:rsidRDefault="00481FD4">
      <w:pPr>
        <w:pStyle w:val="Kop1"/>
      </w:pPr>
    </w:p>
    <w:p w:rsidR="00481FD4" w:rsidRDefault="00405508">
      <w:pPr>
        <w:pStyle w:val="Kop1"/>
      </w:pPr>
      <w:r>
        <w:rPr>
          <w:noProof/>
          <w:lang w:val="nl-BE" w:eastAsia="nl-BE"/>
        </w:rPr>
        <w:drawing>
          <wp:anchor distT="0" distB="0" distL="114300" distR="114300" simplePos="0" relativeHeight="251663360" behindDoc="0" locked="0" layoutInCell="1" allowOverlap="1">
            <wp:simplePos x="0" y="0"/>
            <wp:positionH relativeFrom="column">
              <wp:posOffset>957</wp:posOffset>
            </wp:positionH>
            <wp:positionV relativeFrom="paragraph">
              <wp:posOffset>2289753</wp:posOffset>
            </wp:positionV>
            <wp:extent cx="7219666" cy="3255683"/>
            <wp:effectExtent l="0" t="1981200" r="0" b="1964017"/>
            <wp:wrapSquare wrapText="bothSides"/>
            <wp:docPr id="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rot="16200000">
                      <a:off x="0" y="0"/>
                      <a:ext cx="7219666" cy="3255683"/>
                    </a:xfrm>
                    <a:prstGeom prst="rect">
                      <a:avLst/>
                    </a:prstGeom>
                    <a:noFill/>
                    <a:ln w="9525">
                      <a:noFill/>
                      <a:miter lim="800000"/>
                      <a:headEnd/>
                      <a:tailEnd/>
                    </a:ln>
                  </pic:spPr>
                </pic:pic>
              </a:graphicData>
            </a:graphic>
          </wp:anchor>
        </w:drawing>
      </w:r>
      <w:r>
        <w:br w:type="page"/>
      </w:r>
    </w:p>
    <w:p w:rsidR="00481FD4" w:rsidRDefault="00405508">
      <w:pPr>
        <w:pStyle w:val="Kop1"/>
      </w:pPr>
      <w:bookmarkStart w:id="49" w:name="_Toc447218179"/>
      <w:bookmarkStart w:id="50" w:name="_Toc455838078"/>
      <w:r>
        <w:lastRenderedPageBreak/>
        <w:t>Appendix D: Casing Adjustments - View from the side</w:t>
      </w:r>
      <w:bookmarkEnd w:id="49"/>
      <w:bookmarkEnd w:id="50"/>
    </w:p>
    <w:p w:rsidR="00481FD4" w:rsidRDefault="00481FD4"/>
    <w:p w:rsidR="00481FD4" w:rsidRDefault="00481FD4"/>
    <w:p w:rsidR="00BE643B" w:rsidRPr="00360504" w:rsidRDefault="00BE643B">
      <w:pPr>
        <w:jc w:val="center"/>
        <w:rPr>
          <w:noProof/>
          <w:lang w:eastAsia="nl-BE"/>
        </w:rPr>
      </w:pPr>
    </w:p>
    <w:p w:rsidR="00481FD4" w:rsidRDefault="00405508">
      <w:pPr>
        <w:jc w:val="center"/>
      </w:pPr>
      <w:r>
        <w:rPr>
          <w:noProof/>
          <w:lang w:val="nl-BE" w:eastAsia="nl-BE"/>
        </w:rPr>
        <w:drawing>
          <wp:inline distT="0" distB="0" distL="0" distR="0">
            <wp:extent cx="4595687" cy="6475407"/>
            <wp:effectExtent l="19050" t="0" r="0" b="0"/>
            <wp:docPr id="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601706" cy="6483887"/>
                    </a:xfrm>
                    <a:prstGeom prst="rect">
                      <a:avLst/>
                    </a:prstGeom>
                    <a:noFill/>
                    <a:ln w="9525">
                      <a:noFill/>
                      <a:miter lim="800000"/>
                      <a:headEnd/>
                      <a:tailEnd/>
                    </a:ln>
                  </pic:spPr>
                </pic:pic>
              </a:graphicData>
            </a:graphic>
          </wp:inline>
        </w:drawing>
      </w:r>
    </w:p>
    <w:p w:rsidR="00481FD4" w:rsidRDefault="00481FD4">
      <w:pPr>
        <w:pStyle w:val="Kop1"/>
      </w:pPr>
    </w:p>
    <w:p w:rsidR="00481FD4" w:rsidRDefault="00405508">
      <w:r>
        <w:br w:type="page"/>
      </w:r>
    </w:p>
    <w:p w:rsidR="00481FD4" w:rsidRDefault="00405508">
      <w:pPr>
        <w:pStyle w:val="Kop1"/>
      </w:pPr>
      <w:bookmarkStart w:id="51" w:name="_Toc455838079"/>
      <w:r>
        <w:lastRenderedPageBreak/>
        <w:t>Appendix E: Final Casing Dimensions</w:t>
      </w:r>
      <w:bookmarkEnd w:id="51"/>
    </w:p>
    <w:p w:rsidR="00481FD4" w:rsidRDefault="00481FD4"/>
    <w:p w:rsidR="00BE643B" w:rsidRDefault="00BE643B">
      <w:pPr>
        <w:jc w:val="center"/>
        <w:rPr>
          <w:noProof/>
          <w:lang w:val="nl-BE" w:eastAsia="nl-BE"/>
        </w:rPr>
      </w:pPr>
    </w:p>
    <w:p w:rsidR="00481FD4" w:rsidRDefault="00405508">
      <w:pPr>
        <w:jc w:val="center"/>
      </w:pPr>
      <w:r>
        <w:rPr>
          <w:noProof/>
          <w:lang w:val="nl-BE" w:eastAsia="nl-BE"/>
        </w:rPr>
        <w:drawing>
          <wp:inline distT="0" distB="0" distL="0" distR="0">
            <wp:extent cx="4200525" cy="5553075"/>
            <wp:effectExtent l="19050" t="0" r="9525" b="0"/>
            <wp:docPr id="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lum bright="10000"/>
                    </a:blip>
                    <a:srcRect/>
                    <a:stretch>
                      <a:fillRect/>
                    </a:stretch>
                  </pic:blipFill>
                  <pic:spPr bwMode="auto">
                    <a:xfrm>
                      <a:off x="0" y="0"/>
                      <a:ext cx="4200525" cy="5553075"/>
                    </a:xfrm>
                    <a:prstGeom prst="rect">
                      <a:avLst/>
                    </a:prstGeom>
                    <a:noFill/>
                    <a:ln w="9525">
                      <a:noFill/>
                      <a:miter lim="800000"/>
                      <a:headEnd/>
                      <a:tailEnd/>
                    </a:ln>
                  </pic:spPr>
                </pic:pic>
              </a:graphicData>
            </a:graphic>
          </wp:inline>
        </w:drawing>
      </w:r>
    </w:p>
    <w:p w:rsidR="00481FD4" w:rsidRDefault="00405508">
      <w:pPr>
        <w:jc w:val="center"/>
      </w:pPr>
      <w:r>
        <w:t>A: Width - 4.20 m</w:t>
      </w:r>
    </w:p>
    <w:p w:rsidR="00481FD4" w:rsidRDefault="00405508">
      <w:pPr>
        <w:jc w:val="center"/>
      </w:pPr>
      <w:r>
        <w:t>B: Height - 9.00 m</w:t>
      </w:r>
    </w:p>
    <w:p w:rsidR="00481FD4" w:rsidRDefault="00405508">
      <w:pPr>
        <w:jc w:val="center"/>
      </w:pPr>
      <w:r>
        <w:t>C: Depth - 3.00 m</w:t>
      </w:r>
    </w:p>
    <w:p w:rsidR="00B244D8" w:rsidRDefault="00405508">
      <w:pPr>
        <w:jc w:val="center"/>
      </w:pPr>
      <w:r>
        <w:t>D: Side Space - 6.00 m</w:t>
      </w:r>
    </w:p>
    <w:p w:rsidR="00B244D8" w:rsidRDefault="00B244D8">
      <w:r>
        <w:br w:type="page"/>
      </w:r>
    </w:p>
    <w:p w:rsidR="00B244D8" w:rsidRPr="00360504" w:rsidRDefault="00767D63" w:rsidP="00767D63">
      <w:pPr>
        <w:pStyle w:val="Kop1"/>
        <w:rPr>
          <w:noProof/>
          <w:lang w:eastAsia="nl-BE"/>
        </w:rPr>
      </w:pPr>
      <w:bookmarkStart w:id="52" w:name="_Toc455838080"/>
      <w:r>
        <w:lastRenderedPageBreak/>
        <w:t>Appendix</w:t>
      </w:r>
      <w:r w:rsidRPr="00360504">
        <w:rPr>
          <w:noProof/>
          <w:lang w:eastAsia="nl-BE"/>
        </w:rPr>
        <w:t xml:space="preserve"> F: </w:t>
      </w:r>
      <w:r w:rsidR="00B244D8" w:rsidRPr="00360504">
        <w:rPr>
          <w:noProof/>
          <w:lang w:eastAsia="nl-BE"/>
        </w:rPr>
        <w:t xml:space="preserve">Engine Room </w:t>
      </w:r>
      <w:r w:rsidRPr="00360504">
        <w:rPr>
          <w:noProof/>
          <w:lang w:eastAsia="nl-BE"/>
        </w:rPr>
        <w:t>T</w:t>
      </w:r>
      <w:r w:rsidR="00B244D8" w:rsidRPr="00360504">
        <w:rPr>
          <w:noProof/>
          <w:lang w:eastAsia="nl-BE"/>
        </w:rPr>
        <w:t>anktop</w:t>
      </w:r>
      <w:r w:rsidRPr="00360504">
        <w:rPr>
          <w:noProof/>
          <w:lang w:eastAsia="nl-BE"/>
        </w:rPr>
        <w:t xml:space="preserve"> Ground P</w:t>
      </w:r>
      <w:r w:rsidR="00B244D8" w:rsidRPr="00360504">
        <w:rPr>
          <w:noProof/>
          <w:lang w:eastAsia="nl-BE"/>
        </w:rPr>
        <w:t>lan</w:t>
      </w:r>
      <w:bookmarkEnd w:id="52"/>
    </w:p>
    <w:p w:rsidR="00B244D8" w:rsidRPr="00360504" w:rsidRDefault="00B244D8" w:rsidP="00B244D8">
      <w:pPr>
        <w:rPr>
          <w:noProof/>
          <w:lang w:eastAsia="nl-BE"/>
        </w:rPr>
      </w:pPr>
    </w:p>
    <w:p w:rsidR="00BE643B" w:rsidRPr="00360504" w:rsidRDefault="00BE643B" w:rsidP="00767D63">
      <w:pPr>
        <w:jc w:val="center"/>
        <w:rPr>
          <w:noProof/>
          <w:lang w:eastAsia="nl-BE"/>
        </w:rPr>
      </w:pPr>
    </w:p>
    <w:p w:rsidR="00BE643B" w:rsidRPr="00360504" w:rsidRDefault="00BE643B" w:rsidP="00767D63">
      <w:pPr>
        <w:jc w:val="center"/>
        <w:rPr>
          <w:noProof/>
          <w:lang w:eastAsia="nl-BE"/>
        </w:rPr>
      </w:pPr>
    </w:p>
    <w:p w:rsidR="00B244D8" w:rsidRDefault="00B244D8" w:rsidP="00767D63">
      <w:pPr>
        <w:jc w:val="center"/>
      </w:pPr>
      <w:r>
        <w:rPr>
          <w:noProof/>
          <w:lang w:val="nl-BE" w:eastAsia="nl-BE"/>
        </w:rPr>
        <w:drawing>
          <wp:inline distT="0" distB="0" distL="0" distR="0">
            <wp:extent cx="4901565" cy="5667375"/>
            <wp:effectExtent l="19050" t="0" r="0" b="0"/>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4901565" cy="5667375"/>
                    </a:xfrm>
                    <a:prstGeom prst="rect">
                      <a:avLst/>
                    </a:prstGeom>
                    <a:noFill/>
                    <a:ln w="9525">
                      <a:noFill/>
                      <a:miter lim="800000"/>
                      <a:headEnd/>
                      <a:tailEnd/>
                    </a:ln>
                  </pic:spPr>
                </pic:pic>
              </a:graphicData>
            </a:graphic>
          </wp:inline>
        </w:drawing>
      </w:r>
    </w:p>
    <w:p w:rsidR="00B244D8" w:rsidRDefault="00B244D8">
      <w:r>
        <w:br w:type="page"/>
      </w:r>
    </w:p>
    <w:p w:rsidR="00B244D8" w:rsidRPr="00360504" w:rsidRDefault="00767D63" w:rsidP="00767D63">
      <w:pPr>
        <w:pStyle w:val="Kop1"/>
        <w:rPr>
          <w:noProof/>
          <w:lang w:eastAsia="nl-BE"/>
        </w:rPr>
      </w:pPr>
      <w:bookmarkStart w:id="53" w:name="_Toc455838081"/>
      <w:r>
        <w:lastRenderedPageBreak/>
        <w:t>Appendix</w:t>
      </w:r>
      <w:r w:rsidRPr="00360504">
        <w:rPr>
          <w:noProof/>
          <w:lang w:eastAsia="nl-BE"/>
        </w:rPr>
        <w:t xml:space="preserve"> G: Engine Room Tanktop </w:t>
      </w:r>
      <w:r w:rsidR="00BE643B" w:rsidRPr="00360504">
        <w:rPr>
          <w:noProof/>
          <w:lang w:eastAsia="nl-BE"/>
        </w:rPr>
        <w:t>3D-Drawing</w:t>
      </w:r>
      <w:bookmarkEnd w:id="53"/>
    </w:p>
    <w:p w:rsidR="00767D63" w:rsidRPr="00360504" w:rsidRDefault="00767D63" w:rsidP="00B244D8">
      <w:pPr>
        <w:rPr>
          <w:noProof/>
          <w:lang w:eastAsia="nl-BE"/>
        </w:rPr>
      </w:pPr>
    </w:p>
    <w:p w:rsidR="00767D63" w:rsidRPr="00360504" w:rsidRDefault="00767D63" w:rsidP="00B244D8">
      <w:pPr>
        <w:rPr>
          <w:noProof/>
          <w:lang w:eastAsia="nl-BE"/>
        </w:rPr>
      </w:pPr>
    </w:p>
    <w:p w:rsidR="00767D63" w:rsidRPr="00360504" w:rsidRDefault="00767D63" w:rsidP="00B244D8">
      <w:pPr>
        <w:rPr>
          <w:noProof/>
          <w:lang w:eastAsia="nl-BE"/>
        </w:rPr>
      </w:pPr>
    </w:p>
    <w:p w:rsidR="00767D63" w:rsidRPr="00360504" w:rsidRDefault="00767D63" w:rsidP="00B244D8">
      <w:pPr>
        <w:rPr>
          <w:noProof/>
          <w:lang w:eastAsia="nl-BE"/>
        </w:rPr>
      </w:pPr>
    </w:p>
    <w:p w:rsidR="00BE643B" w:rsidRPr="00360504" w:rsidRDefault="00BE643B" w:rsidP="00767D63">
      <w:pPr>
        <w:jc w:val="center"/>
        <w:rPr>
          <w:noProof/>
          <w:lang w:eastAsia="nl-BE"/>
        </w:rPr>
      </w:pPr>
    </w:p>
    <w:p w:rsidR="00BE643B" w:rsidRPr="00360504" w:rsidRDefault="00BE643B" w:rsidP="00767D63">
      <w:pPr>
        <w:jc w:val="center"/>
        <w:rPr>
          <w:noProof/>
          <w:lang w:eastAsia="nl-BE"/>
        </w:rPr>
      </w:pPr>
    </w:p>
    <w:p w:rsidR="00481FD4" w:rsidRDefault="00B244D8" w:rsidP="00767D63">
      <w:pPr>
        <w:jc w:val="center"/>
      </w:pPr>
      <w:r>
        <w:rPr>
          <w:noProof/>
          <w:lang w:val="nl-BE" w:eastAsia="nl-BE"/>
        </w:rPr>
        <w:drawing>
          <wp:inline distT="0" distB="0" distL="0" distR="0">
            <wp:extent cx="5760720" cy="4077193"/>
            <wp:effectExtent l="19050" t="0" r="0" b="0"/>
            <wp:docPr id="1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5760720" cy="4077193"/>
                    </a:xfrm>
                    <a:prstGeom prst="rect">
                      <a:avLst/>
                    </a:prstGeom>
                    <a:noFill/>
                    <a:ln w="9525">
                      <a:noFill/>
                      <a:miter lim="800000"/>
                      <a:headEnd/>
                      <a:tailEnd/>
                    </a:ln>
                  </pic:spPr>
                </pic:pic>
              </a:graphicData>
            </a:graphic>
          </wp:inline>
        </w:drawing>
      </w:r>
    </w:p>
    <w:p w:rsidR="00B244D8" w:rsidRDefault="00B244D8">
      <w:r>
        <w:br w:type="page"/>
      </w:r>
    </w:p>
    <w:p w:rsidR="00B244D8" w:rsidRDefault="00767D63" w:rsidP="00767D63">
      <w:pPr>
        <w:pStyle w:val="Kop1"/>
      </w:pPr>
      <w:bookmarkStart w:id="54" w:name="_Toc455838082"/>
      <w:r>
        <w:lastRenderedPageBreak/>
        <w:t xml:space="preserve">Appendix H: </w:t>
      </w:r>
      <w:r w:rsidR="00B244D8">
        <w:t xml:space="preserve">Engine </w:t>
      </w:r>
      <w:r>
        <w:t>R</w:t>
      </w:r>
      <w:r w:rsidR="00B244D8">
        <w:t xml:space="preserve">oom </w:t>
      </w:r>
      <w:proofErr w:type="spellStart"/>
      <w:r>
        <w:t>T</w:t>
      </w:r>
      <w:r w:rsidR="00B244D8">
        <w:t>weendeck</w:t>
      </w:r>
      <w:proofErr w:type="spellEnd"/>
      <w:r w:rsidR="00B244D8">
        <w:t xml:space="preserve"> </w:t>
      </w:r>
      <w:r>
        <w:t>Ground P</w:t>
      </w:r>
      <w:r w:rsidR="00B244D8">
        <w:t>lan</w:t>
      </w:r>
      <w:bookmarkEnd w:id="54"/>
    </w:p>
    <w:p w:rsidR="00767D63" w:rsidRPr="00360504" w:rsidRDefault="00767D63" w:rsidP="00B244D8">
      <w:pPr>
        <w:rPr>
          <w:noProof/>
          <w:lang w:eastAsia="nl-BE"/>
        </w:rPr>
      </w:pPr>
    </w:p>
    <w:p w:rsidR="00767D63" w:rsidRPr="00360504" w:rsidRDefault="00767D63" w:rsidP="00B244D8">
      <w:pPr>
        <w:rPr>
          <w:noProof/>
          <w:lang w:eastAsia="nl-BE"/>
        </w:rPr>
      </w:pPr>
    </w:p>
    <w:p w:rsidR="00767D63" w:rsidRPr="00360504" w:rsidRDefault="00767D63" w:rsidP="00B244D8">
      <w:pPr>
        <w:rPr>
          <w:noProof/>
          <w:lang w:eastAsia="nl-BE"/>
        </w:rPr>
      </w:pPr>
    </w:p>
    <w:p w:rsidR="00B244D8" w:rsidRDefault="00B244D8" w:rsidP="00767D63">
      <w:pPr>
        <w:jc w:val="center"/>
      </w:pPr>
      <w:r>
        <w:rPr>
          <w:noProof/>
          <w:lang w:val="nl-BE" w:eastAsia="nl-BE"/>
        </w:rPr>
        <w:drawing>
          <wp:inline distT="0" distB="0" distL="0" distR="0">
            <wp:extent cx="4635500" cy="5528945"/>
            <wp:effectExtent l="19050" t="0" r="0" b="0"/>
            <wp:docPr id="1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4635500" cy="5528945"/>
                    </a:xfrm>
                    <a:prstGeom prst="rect">
                      <a:avLst/>
                    </a:prstGeom>
                    <a:noFill/>
                    <a:ln w="9525">
                      <a:noFill/>
                      <a:miter lim="800000"/>
                      <a:headEnd/>
                      <a:tailEnd/>
                    </a:ln>
                  </pic:spPr>
                </pic:pic>
              </a:graphicData>
            </a:graphic>
          </wp:inline>
        </w:drawing>
      </w:r>
    </w:p>
    <w:p w:rsidR="00B244D8" w:rsidRDefault="00B244D8">
      <w:r>
        <w:br w:type="page"/>
      </w:r>
    </w:p>
    <w:p w:rsidR="00B244D8" w:rsidRPr="00360504" w:rsidRDefault="00767D63" w:rsidP="00767D63">
      <w:pPr>
        <w:pStyle w:val="Kop1"/>
        <w:rPr>
          <w:noProof/>
          <w:lang w:eastAsia="nl-BE"/>
        </w:rPr>
      </w:pPr>
      <w:bookmarkStart w:id="55" w:name="_Toc455838083"/>
      <w:r>
        <w:lastRenderedPageBreak/>
        <w:t>Appendix</w:t>
      </w:r>
      <w:r w:rsidRPr="00360504">
        <w:rPr>
          <w:noProof/>
          <w:lang w:eastAsia="nl-BE"/>
        </w:rPr>
        <w:t xml:space="preserve"> I: Engine Room Tweendeck </w:t>
      </w:r>
      <w:r w:rsidR="00BE643B" w:rsidRPr="00360504">
        <w:rPr>
          <w:noProof/>
          <w:lang w:eastAsia="nl-BE"/>
        </w:rPr>
        <w:t>3D-Drawing</w:t>
      </w:r>
      <w:bookmarkEnd w:id="55"/>
    </w:p>
    <w:p w:rsidR="00B244D8" w:rsidRPr="00360504" w:rsidRDefault="00B244D8" w:rsidP="00B244D8">
      <w:pPr>
        <w:rPr>
          <w:noProof/>
          <w:lang w:eastAsia="nl-BE"/>
        </w:rPr>
      </w:pPr>
    </w:p>
    <w:p w:rsidR="00BE643B" w:rsidRPr="00360504" w:rsidRDefault="00BE643B" w:rsidP="00767D63">
      <w:pPr>
        <w:jc w:val="center"/>
        <w:rPr>
          <w:noProof/>
          <w:lang w:eastAsia="nl-BE"/>
        </w:rPr>
      </w:pPr>
    </w:p>
    <w:p w:rsidR="00BE643B" w:rsidRPr="00360504" w:rsidRDefault="00BE643B" w:rsidP="00767D63">
      <w:pPr>
        <w:jc w:val="center"/>
        <w:rPr>
          <w:noProof/>
          <w:lang w:eastAsia="nl-BE"/>
        </w:rPr>
      </w:pPr>
    </w:p>
    <w:p w:rsidR="00BE643B" w:rsidRPr="00360504" w:rsidRDefault="00BE643B" w:rsidP="00767D63">
      <w:pPr>
        <w:jc w:val="center"/>
        <w:rPr>
          <w:noProof/>
          <w:lang w:eastAsia="nl-BE"/>
        </w:rPr>
      </w:pPr>
    </w:p>
    <w:p w:rsidR="00BE643B" w:rsidRPr="00360504" w:rsidRDefault="00BE643B" w:rsidP="00767D63">
      <w:pPr>
        <w:jc w:val="center"/>
        <w:rPr>
          <w:noProof/>
          <w:lang w:eastAsia="nl-BE"/>
        </w:rPr>
      </w:pPr>
    </w:p>
    <w:p w:rsidR="00B244D8" w:rsidRDefault="00B244D8" w:rsidP="00767D63">
      <w:pPr>
        <w:jc w:val="center"/>
      </w:pPr>
      <w:r>
        <w:rPr>
          <w:noProof/>
          <w:lang w:val="nl-BE" w:eastAsia="nl-BE"/>
        </w:rPr>
        <w:drawing>
          <wp:inline distT="0" distB="0" distL="0" distR="0">
            <wp:extent cx="5760720" cy="3760540"/>
            <wp:effectExtent l="19050" t="0" r="0" b="0"/>
            <wp:docPr id="1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5760720" cy="3760540"/>
                    </a:xfrm>
                    <a:prstGeom prst="rect">
                      <a:avLst/>
                    </a:prstGeom>
                    <a:noFill/>
                    <a:ln w="9525">
                      <a:noFill/>
                      <a:miter lim="800000"/>
                      <a:headEnd/>
                      <a:tailEnd/>
                    </a:ln>
                  </pic:spPr>
                </pic:pic>
              </a:graphicData>
            </a:graphic>
          </wp:inline>
        </w:drawing>
      </w:r>
    </w:p>
    <w:sectPr w:rsidR="00B244D8" w:rsidSect="00481FD4">
      <w:footerReference w:type="default" r:id="rId30"/>
      <w:footerReference w:type="first" r:id="rId31"/>
      <w:pgSz w:w="11906" w:h="16838"/>
      <w:pgMar w:top="1417" w:right="1417" w:bottom="1417" w:left="1417" w:header="708" w:footer="708"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8A0728" w15:done="0"/>
  <w15:commentEx w15:paraId="1BD3C458" w15:done="0"/>
  <w15:commentEx w15:paraId="3C7F8F50" w15:done="0"/>
  <w15:commentEx w15:paraId="7181B327" w15:done="0"/>
  <w15:commentEx w15:paraId="6513A473" w15:done="0"/>
  <w15:commentEx w15:paraId="72A93A4D" w15:done="0"/>
  <w15:commentEx w15:paraId="791ADC1C" w15:done="0"/>
  <w15:commentEx w15:paraId="39B1E46E" w15:done="0"/>
  <w15:commentEx w15:paraId="0E7E453C" w15:done="0"/>
  <w15:commentEx w15:paraId="14329918" w15:paraIdParent="0E7E453C" w15:done="0"/>
  <w15:commentEx w15:paraId="0CDB5F8C" w15:done="0"/>
  <w15:commentEx w15:paraId="3E9E17BA" w15:done="0"/>
  <w15:commentEx w15:paraId="3E0BE46C" w15:done="0"/>
  <w15:commentEx w15:paraId="372B4CFD" w15:done="0"/>
  <w15:commentEx w15:paraId="18EF8781" w15:done="0"/>
  <w15:commentEx w15:paraId="4A30287B" w15:done="0"/>
  <w15:commentEx w15:paraId="7272A17C" w15:done="0"/>
  <w15:commentEx w15:paraId="1887AED9" w15:done="0"/>
  <w15:commentEx w15:paraId="748E7B2B"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46DD" w:rsidRDefault="005946DD">
      <w:pPr>
        <w:spacing w:after="0" w:line="240" w:lineRule="auto"/>
      </w:pPr>
      <w:r>
        <w:separator/>
      </w:r>
    </w:p>
  </w:endnote>
  <w:endnote w:type="continuationSeparator" w:id="0">
    <w:p w:rsidR="005946DD" w:rsidRDefault="005946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171" w:rsidRDefault="00397171">
    <w:pPr>
      <w:pStyle w:val="Voettekst"/>
      <w:jc w:val="right"/>
    </w:pPr>
  </w:p>
  <w:p w:rsidR="00397171" w:rsidRDefault="00397171">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95498"/>
      <w:docPartObj>
        <w:docPartGallery w:val="Page Numbers (Bottom of Page)"/>
        <w:docPartUnique/>
      </w:docPartObj>
    </w:sdtPr>
    <w:sdtContent>
      <w:p w:rsidR="00397171" w:rsidRDefault="003352B0">
        <w:pPr>
          <w:pStyle w:val="Voettekst"/>
          <w:jc w:val="right"/>
        </w:pPr>
        <w:fldSimple w:instr=" PAGE   \* MERGEFORMAT ">
          <w:r w:rsidR="00360504">
            <w:rPr>
              <w:noProof/>
            </w:rPr>
            <w:t>39</w:t>
          </w:r>
        </w:fldSimple>
      </w:p>
    </w:sdtContent>
  </w:sdt>
  <w:p w:rsidR="00397171" w:rsidRDefault="00397171">
    <w:pPr>
      <w:pStyle w:val="Voet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95497"/>
      <w:docPartObj>
        <w:docPartGallery w:val="Page Numbers (Bottom of Page)"/>
        <w:docPartUnique/>
      </w:docPartObj>
    </w:sdtPr>
    <w:sdtContent>
      <w:p w:rsidR="00397171" w:rsidRDefault="003352B0">
        <w:pPr>
          <w:pStyle w:val="Voettekst"/>
          <w:jc w:val="right"/>
        </w:pPr>
        <w:fldSimple w:instr=" PAGE   \* MERGEFORMAT ">
          <w:r w:rsidR="00360504">
            <w:rPr>
              <w:noProof/>
            </w:rPr>
            <w:t>6</w:t>
          </w:r>
        </w:fldSimple>
      </w:p>
    </w:sdtContent>
  </w:sdt>
  <w:p w:rsidR="00397171" w:rsidRDefault="00397171">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46DD" w:rsidRDefault="005946DD">
      <w:pPr>
        <w:spacing w:after="0" w:line="240" w:lineRule="auto"/>
      </w:pPr>
      <w:r>
        <w:separator/>
      </w:r>
    </w:p>
  </w:footnote>
  <w:footnote w:type="continuationSeparator" w:id="0">
    <w:p w:rsidR="005946DD" w:rsidRDefault="005946DD">
      <w:pPr>
        <w:spacing w:after="0" w:line="240" w:lineRule="auto"/>
      </w:pPr>
      <w:r>
        <w:continuationSeparator/>
      </w:r>
    </w:p>
  </w:footnote>
  <w:footnote w:id="1">
    <w:p w:rsidR="00397171" w:rsidRDefault="00397171">
      <w:pPr>
        <w:pStyle w:val="Voetnoottekst"/>
        <w:jc w:val="both"/>
      </w:pPr>
      <w:r>
        <w:rPr>
          <w:rStyle w:val="Voetnootmarkering"/>
        </w:rPr>
        <w:footnoteRef/>
      </w:r>
      <w:r>
        <w:t xml:space="preserve"> </w:t>
      </w:r>
      <w:r>
        <w:rPr>
          <w:sz w:val="18"/>
          <w:szCs w:val="18"/>
        </w:rPr>
        <w:t>For more information about regional regulations, please refer to the book 'Marine Scrubbers: The Guide 2015'; paragraph   1.5: 'Regulatory Requirements'</w:t>
      </w:r>
      <w:sdt>
        <w:sdtPr>
          <w:rPr>
            <w:sz w:val="18"/>
            <w:szCs w:val="18"/>
          </w:rPr>
          <w:id w:val="171612529"/>
          <w:citation/>
        </w:sdtPr>
        <w:sdtContent>
          <w:r w:rsidR="003352B0">
            <w:rPr>
              <w:sz w:val="18"/>
              <w:szCs w:val="18"/>
            </w:rPr>
            <w:fldChar w:fldCharType="begin"/>
          </w:r>
          <w:r>
            <w:rPr>
              <w:sz w:val="18"/>
              <w:szCs w:val="18"/>
            </w:rPr>
            <w:instrText xml:space="preserve"> CITATION Cat15 \l 2067 </w:instrText>
          </w:r>
          <w:r w:rsidR="003352B0">
            <w:rPr>
              <w:sz w:val="18"/>
              <w:szCs w:val="18"/>
            </w:rPr>
            <w:fldChar w:fldCharType="separate"/>
          </w:r>
          <w:r>
            <w:rPr>
              <w:noProof/>
              <w:sz w:val="18"/>
              <w:szCs w:val="18"/>
            </w:rPr>
            <w:t xml:space="preserve"> (Austin, 2015)</w:t>
          </w:r>
          <w:r w:rsidR="003352B0">
            <w:rPr>
              <w:sz w:val="18"/>
              <w:szCs w:val="18"/>
            </w:rPr>
            <w:fldChar w:fldCharType="end"/>
          </w:r>
        </w:sdtContent>
      </w:sdt>
      <w:r>
        <w:rPr>
          <w:sz w:val="18"/>
          <w:szCs w:val="18"/>
        </w:rPr>
        <w:t>.</w:t>
      </w:r>
    </w:p>
  </w:footnote>
  <w:footnote w:id="2">
    <w:p w:rsidR="00397171" w:rsidRDefault="00397171">
      <w:pPr>
        <w:pStyle w:val="Voetnoottekst"/>
        <w:jc w:val="both"/>
      </w:pPr>
      <w:r>
        <w:rPr>
          <w:rStyle w:val="Voetnootmarkering"/>
        </w:rPr>
        <w:footnoteRef/>
      </w:r>
      <w:r>
        <w:t xml:space="preserve"> For more information about the working principle of the different scrubber systems, please refer to the book: 'Marine Scrubbers: The guide 2015', Chapter 4: Scrubber Technologies </w:t>
      </w:r>
      <w:sdt>
        <w:sdtPr>
          <w:id w:val="171612532"/>
          <w:citation/>
        </w:sdtPr>
        <w:sdtContent>
          <w:fldSimple w:instr=" CITATION Cat15 \l 2067 ">
            <w:r>
              <w:rPr>
                <w:noProof/>
              </w:rPr>
              <w:t>(Austin, 2015)</w:t>
            </w:r>
          </w:fldSimple>
        </w:sdtContent>
      </w:sdt>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E1CE8"/>
    <w:multiLevelType w:val="hybridMultilevel"/>
    <w:tmpl w:val="DAC65BE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3186DDF"/>
    <w:multiLevelType w:val="hybridMultilevel"/>
    <w:tmpl w:val="AA94A2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F2F3683"/>
    <w:multiLevelType w:val="hybridMultilevel"/>
    <w:tmpl w:val="EE5618C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112E41C0"/>
    <w:multiLevelType w:val="hybridMultilevel"/>
    <w:tmpl w:val="64AC884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11D36D4B"/>
    <w:multiLevelType w:val="hybridMultilevel"/>
    <w:tmpl w:val="2E945E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130F62C5"/>
    <w:multiLevelType w:val="hybridMultilevel"/>
    <w:tmpl w:val="E37A5B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1CF231F8"/>
    <w:multiLevelType w:val="hybridMultilevel"/>
    <w:tmpl w:val="521A0D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1D5B6176"/>
    <w:multiLevelType w:val="hybridMultilevel"/>
    <w:tmpl w:val="77429C2E"/>
    <w:lvl w:ilvl="0" w:tplc="08130001">
      <w:start w:val="1"/>
      <w:numFmt w:val="bullet"/>
      <w:lvlText w:val=""/>
      <w:lvlJc w:val="left"/>
      <w:pPr>
        <w:ind w:left="928"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8">
    <w:nsid w:val="21200660"/>
    <w:multiLevelType w:val="hybridMultilevel"/>
    <w:tmpl w:val="9342E1BC"/>
    <w:lvl w:ilvl="0" w:tplc="08130001">
      <w:start w:val="1"/>
      <w:numFmt w:val="bullet"/>
      <w:lvlText w:val=""/>
      <w:lvlJc w:val="left"/>
      <w:pPr>
        <w:ind w:left="644" w:hanging="360"/>
      </w:pPr>
      <w:rPr>
        <w:rFonts w:ascii="Symbol" w:hAnsi="Symbol" w:hint="default"/>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9">
    <w:nsid w:val="27B34499"/>
    <w:multiLevelType w:val="hybridMultilevel"/>
    <w:tmpl w:val="AB9C0F4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2A2043ED"/>
    <w:multiLevelType w:val="hybridMultilevel"/>
    <w:tmpl w:val="7FD6B3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2F9C1E23"/>
    <w:multiLevelType w:val="hybridMultilevel"/>
    <w:tmpl w:val="BCEADC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32E83035"/>
    <w:multiLevelType w:val="hybridMultilevel"/>
    <w:tmpl w:val="581205D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39441EA2"/>
    <w:multiLevelType w:val="hybridMultilevel"/>
    <w:tmpl w:val="DA64AB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3B347B53"/>
    <w:multiLevelType w:val="hybridMultilevel"/>
    <w:tmpl w:val="D70471E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3B4041D1"/>
    <w:multiLevelType w:val="hybridMultilevel"/>
    <w:tmpl w:val="6A4E8D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4BD85899"/>
    <w:multiLevelType w:val="hybridMultilevel"/>
    <w:tmpl w:val="578289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519D44F8"/>
    <w:multiLevelType w:val="hybridMultilevel"/>
    <w:tmpl w:val="515A73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570103C5"/>
    <w:multiLevelType w:val="hybridMultilevel"/>
    <w:tmpl w:val="A64065F2"/>
    <w:lvl w:ilvl="0" w:tplc="08130001">
      <w:start w:val="1"/>
      <w:numFmt w:val="bullet"/>
      <w:lvlText w:val=""/>
      <w:lvlJc w:val="left"/>
      <w:pPr>
        <w:ind w:left="1485" w:hanging="360"/>
      </w:pPr>
      <w:rPr>
        <w:rFonts w:ascii="Symbol" w:hAnsi="Symbol" w:hint="default"/>
      </w:rPr>
    </w:lvl>
    <w:lvl w:ilvl="1" w:tplc="08130003" w:tentative="1">
      <w:start w:val="1"/>
      <w:numFmt w:val="bullet"/>
      <w:lvlText w:val="o"/>
      <w:lvlJc w:val="left"/>
      <w:pPr>
        <w:ind w:left="2205" w:hanging="360"/>
      </w:pPr>
      <w:rPr>
        <w:rFonts w:ascii="Courier New" w:hAnsi="Courier New" w:cs="Courier New" w:hint="default"/>
      </w:rPr>
    </w:lvl>
    <w:lvl w:ilvl="2" w:tplc="08130005" w:tentative="1">
      <w:start w:val="1"/>
      <w:numFmt w:val="bullet"/>
      <w:lvlText w:val=""/>
      <w:lvlJc w:val="left"/>
      <w:pPr>
        <w:ind w:left="2925" w:hanging="360"/>
      </w:pPr>
      <w:rPr>
        <w:rFonts w:ascii="Wingdings" w:hAnsi="Wingdings" w:hint="default"/>
      </w:rPr>
    </w:lvl>
    <w:lvl w:ilvl="3" w:tplc="08130001" w:tentative="1">
      <w:start w:val="1"/>
      <w:numFmt w:val="bullet"/>
      <w:lvlText w:val=""/>
      <w:lvlJc w:val="left"/>
      <w:pPr>
        <w:ind w:left="3645" w:hanging="360"/>
      </w:pPr>
      <w:rPr>
        <w:rFonts w:ascii="Symbol" w:hAnsi="Symbol" w:hint="default"/>
      </w:rPr>
    </w:lvl>
    <w:lvl w:ilvl="4" w:tplc="08130003" w:tentative="1">
      <w:start w:val="1"/>
      <w:numFmt w:val="bullet"/>
      <w:lvlText w:val="o"/>
      <w:lvlJc w:val="left"/>
      <w:pPr>
        <w:ind w:left="4365" w:hanging="360"/>
      </w:pPr>
      <w:rPr>
        <w:rFonts w:ascii="Courier New" w:hAnsi="Courier New" w:cs="Courier New" w:hint="default"/>
      </w:rPr>
    </w:lvl>
    <w:lvl w:ilvl="5" w:tplc="08130005" w:tentative="1">
      <w:start w:val="1"/>
      <w:numFmt w:val="bullet"/>
      <w:lvlText w:val=""/>
      <w:lvlJc w:val="left"/>
      <w:pPr>
        <w:ind w:left="5085" w:hanging="360"/>
      </w:pPr>
      <w:rPr>
        <w:rFonts w:ascii="Wingdings" w:hAnsi="Wingdings" w:hint="default"/>
      </w:rPr>
    </w:lvl>
    <w:lvl w:ilvl="6" w:tplc="08130001" w:tentative="1">
      <w:start w:val="1"/>
      <w:numFmt w:val="bullet"/>
      <w:lvlText w:val=""/>
      <w:lvlJc w:val="left"/>
      <w:pPr>
        <w:ind w:left="5805" w:hanging="360"/>
      </w:pPr>
      <w:rPr>
        <w:rFonts w:ascii="Symbol" w:hAnsi="Symbol" w:hint="default"/>
      </w:rPr>
    </w:lvl>
    <w:lvl w:ilvl="7" w:tplc="08130003" w:tentative="1">
      <w:start w:val="1"/>
      <w:numFmt w:val="bullet"/>
      <w:lvlText w:val="o"/>
      <w:lvlJc w:val="left"/>
      <w:pPr>
        <w:ind w:left="6525" w:hanging="360"/>
      </w:pPr>
      <w:rPr>
        <w:rFonts w:ascii="Courier New" w:hAnsi="Courier New" w:cs="Courier New" w:hint="default"/>
      </w:rPr>
    </w:lvl>
    <w:lvl w:ilvl="8" w:tplc="08130005" w:tentative="1">
      <w:start w:val="1"/>
      <w:numFmt w:val="bullet"/>
      <w:lvlText w:val=""/>
      <w:lvlJc w:val="left"/>
      <w:pPr>
        <w:ind w:left="7245" w:hanging="360"/>
      </w:pPr>
      <w:rPr>
        <w:rFonts w:ascii="Wingdings" w:hAnsi="Wingdings" w:hint="default"/>
      </w:rPr>
    </w:lvl>
  </w:abstractNum>
  <w:abstractNum w:abstractNumId="19">
    <w:nsid w:val="60991F97"/>
    <w:multiLevelType w:val="hybridMultilevel"/>
    <w:tmpl w:val="36968C8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609A46C9"/>
    <w:multiLevelType w:val="hybridMultilevel"/>
    <w:tmpl w:val="94DC5D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64B77B47"/>
    <w:multiLevelType w:val="hybridMultilevel"/>
    <w:tmpl w:val="5F6E63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69CD3ACE"/>
    <w:multiLevelType w:val="hybridMultilevel"/>
    <w:tmpl w:val="3BA211B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704258EA"/>
    <w:multiLevelType w:val="hybridMultilevel"/>
    <w:tmpl w:val="A2A8A4F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78384848"/>
    <w:multiLevelType w:val="hybridMultilevel"/>
    <w:tmpl w:val="65C239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7E1C462B"/>
    <w:multiLevelType w:val="hybridMultilevel"/>
    <w:tmpl w:val="4F12FE8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14"/>
  </w:num>
  <w:num w:numId="4">
    <w:abstractNumId w:val="17"/>
  </w:num>
  <w:num w:numId="5">
    <w:abstractNumId w:val="16"/>
  </w:num>
  <w:num w:numId="6">
    <w:abstractNumId w:val="2"/>
  </w:num>
  <w:num w:numId="7">
    <w:abstractNumId w:val="24"/>
  </w:num>
  <w:num w:numId="8">
    <w:abstractNumId w:val="12"/>
  </w:num>
  <w:num w:numId="9">
    <w:abstractNumId w:val="21"/>
  </w:num>
  <w:num w:numId="10">
    <w:abstractNumId w:val="5"/>
  </w:num>
  <w:num w:numId="11">
    <w:abstractNumId w:val="0"/>
  </w:num>
  <w:num w:numId="12">
    <w:abstractNumId w:val="8"/>
  </w:num>
  <w:num w:numId="13">
    <w:abstractNumId w:val="18"/>
  </w:num>
  <w:num w:numId="14">
    <w:abstractNumId w:val="7"/>
  </w:num>
  <w:num w:numId="15">
    <w:abstractNumId w:val="6"/>
  </w:num>
  <w:num w:numId="16">
    <w:abstractNumId w:val="1"/>
  </w:num>
  <w:num w:numId="17">
    <w:abstractNumId w:val="15"/>
  </w:num>
  <w:num w:numId="18">
    <w:abstractNumId w:val="4"/>
  </w:num>
  <w:num w:numId="19">
    <w:abstractNumId w:val="13"/>
  </w:num>
  <w:num w:numId="20">
    <w:abstractNumId w:val="25"/>
  </w:num>
  <w:num w:numId="21">
    <w:abstractNumId w:val="19"/>
  </w:num>
  <w:num w:numId="22">
    <w:abstractNumId w:val="11"/>
  </w:num>
  <w:num w:numId="23">
    <w:abstractNumId w:val="22"/>
  </w:num>
  <w:num w:numId="24">
    <w:abstractNumId w:val="9"/>
  </w:num>
  <w:num w:numId="25">
    <w:abstractNumId w:val="10"/>
  </w:num>
  <w:num w:numId="26">
    <w:abstractNumId w:val="2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 de Groot">
    <w15:presenceInfo w15:providerId="AD" w15:userId="S-1-5-21-2460750629-677076624-3224607421-1508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08"/>
  <w:hyphenationZone w:val="425"/>
  <w:drawingGridHorizontalSpacing w:val="110"/>
  <w:displayHorizontalDrawingGridEvery w:val="2"/>
  <w:characterSpacingControl w:val="doNotCompress"/>
  <w:hdrShapeDefaults>
    <o:shapedefaults v:ext="edit" spidmax="33793"/>
  </w:hdrShapeDefaults>
  <w:footnotePr>
    <w:footnote w:id="-1"/>
    <w:footnote w:id="0"/>
  </w:footnotePr>
  <w:endnotePr>
    <w:endnote w:id="-1"/>
    <w:endnote w:id="0"/>
  </w:endnotePr>
  <w:compat/>
  <w:rsids>
    <w:rsidRoot w:val="00481FD4"/>
    <w:rsid w:val="00024BD0"/>
    <w:rsid w:val="00073349"/>
    <w:rsid w:val="00084E95"/>
    <w:rsid w:val="000929C5"/>
    <w:rsid w:val="000B05D2"/>
    <w:rsid w:val="000D2F80"/>
    <w:rsid w:val="000D4530"/>
    <w:rsid w:val="00113F99"/>
    <w:rsid w:val="00190F3F"/>
    <w:rsid w:val="001D12A2"/>
    <w:rsid w:val="002361EF"/>
    <w:rsid w:val="00272368"/>
    <w:rsid w:val="002D245C"/>
    <w:rsid w:val="00324712"/>
    <w:rsid w:val="003352B0"/>
    <w:rsid w:val="0035290A"/>
    <w:rsid w:val="0035368E"/>
    <w:rsid w:val="003563AC"/>
    <w:rsid w:val="00360504"/>
    <w:rsid w:val="00397171"/>
    <w:rsid w:val="003B7757"/>
    <w:rsid w:val="003D099F"/>
    <w:rsid w:val="003F13AB"/>
    <w:rsid w:val="00405508"/>
    <w:rsid w:val="0045630F"/>
    <w:rsid w:val="00481FD4"/>
    <w:rsid w:val="00491124"/>
    <w:rsid w:val="004A2D71"/>
    <w:rsid w:val="004B14E7"/>
    <w:rsid w:val="004D4B90"/>
    <w:rsid w:val="004E0751"/>
    <w:rsid w:val="00504B89"/>
    <w:rsid w:val="00532E5F"/>
    <w:rsid w:val="005946DD"/>
    <w:rsid w:val="005C67AD"/>
    <w:rsid w:val="005F636E"/>
    <w:rsid w:val="00627E45"/>
    <w:rsid w:val="006826F3"/>
    <w:rsid w:val="006870C1"/>
    <w:rsid w:val="006C6324"/>
    <w:rsid w:val="007136D8"/>
    <w:rsid w:val="007417B5"/>
    <w:rsid w:val="00741D00"/>
    <w:rsid w:val="0074515A"/>
    <w:rsid w:val="007603CF"/>
    <w:rsid w:val="00767D63"/>
    <w:rsid w:val="00792CB2"/>
    <w:rsid w:val="0079757F"/>
    <w:rsid w:val="007A56AE"/>
    <w:rsid w:val="007E48E7"/>
    <w:rsid w:val="008522B8"/>
    <w:rsid w:val="00856F47"/>
    <w:rsid w:val="00896B1D"/>
    <w:rsid w:val="008B337B"/>
    <w:rsid w:val="008F2ED9"/>
    <w:rsid w:val="009263C3"/>
    <w:rsid w:val="00931579"/>
    <w:rsid w:val="00945901"/>
    <w:rsid w:val="00955661"/>
    <w:rsid w:val="00985470"/>
    <w:rsid w:val="009A4312"/>
    <w:rsid w:val="009B382C"/>
    <w:rsid w:val="00A32A9D"/>
    <w:rsid w:val="00A37B24"/>
    <w:rsid w:val="00A57110"/>
    <w:rsid w:val="00A65D2F"/>
    <w:rsid w:val="00AA1353"/>
    <w:rsid w:val="00AA6A02"/>
    <w:rsid w:val="00AD316F"/>
    <w:rsid w:val="00AE2105"/>
    <w:rsid w:val="00B01FDC"/>
    <w:rsid w:val="00B244D8"/>
    <w:rsid w:val="00B26346"/>
    <w:rsid w:val="00B55B94"/>
    <w:rsid w:val="00BD4DE4"/>
    <w:rsid w:val="00BE472D"/>
    <w:rsid w:val="00BE643B"/>
    <w:rsid w:val="00C06762"/>
    <w:rsid w:val="00C12FA0"/>
    <w:rsid w:val="00C16C00"/>
    <w:rsid w:val="00C27FDD"/>
    <w:rsid w:val="00C53069"/>
    <w:rsid w:val="00C55CCC"/>
    <w:rsid w:val="00C7649C"/>
    <w:rsid w:val="00CC359E"/>
    <w:rsid w:val="00D21996"/>
    <w:rsid w:val="00D22E5D"/>
    <w:rsid w:val="00D754FB"/>
    <w:rsid w:val="00DC1312"/>
    <w:rsid w:val="00E57DDA"/>
    <w:rsid w:val="00E76FE3"/>
    <w:rsid w:val="00E828D7"/>
    <w:rsid w:val="00EB2F24"/>
    <w:rsid w:val="00EB5246"/>
    <w:rsid w:val="00EE21BF"/>
    <w:rsid w:val="00EF1755"/>
    <w:rsid w:val="00F117E2"/>
    <w:rsid w:val="00F217C0"/>
    <w:rsid w:val="00F55B46"/>
    <w:rsid w:val="00F8266C"/>
    <w:rsid w:val="00F87B28"/>
    <w:rsid w:val="00FA7B8D"/>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81FD4"/>
    <w:rPr>
      <w:sz w:val="24"/>
      <w:lang w:val="en-US"/>
    </w:rPr>
  </w:style>
  <w:style w:type="paragraph" w:styleId="Kop1">
    <w:name w:val="heading 1"/>
    <w:basedOn w:val="Standaard"/>
    <w:next w:val="Standaard"/>
    <w:link w:val="Kop1Char"/>
    <w:uiPriority w:val="9"/>
    <w:qFormat/>
    <w:rsid w:val="00481F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481FD4"/>
    <w:pPr>
      <w:keepNext/>
      <w:keepLines/>
      <w:spacing w:before="200" w:after="0"/>
      <w:jc w:val="both"/>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481FD4"/>
    <w:pPr>
      <w:keepNext/>
      <w:keepLines/>
      <w:spacing w:before="200" w:after="0"/>
      <w:jc w:val="both"/>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481FD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81FD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81FD4"/>
    <w:rPr>
      <w:rFonts w:ascii="Tahoma" w:hAnsi="Tahoma" w:cs="Tahoma"/>
      <w:sz w:val="16"/>
      <w:szCs w:val="16"/>
    </w:rPr>
  </w:style>
  <w:style w:type="paragraph" w:styleId="Geenafstand">
    <w:name w:val="No Spacing"/>
    <w:link w:val="GeenafstandChar"/>
    <w:uiPriority w:val="1"/>
    <w:qFormat/>
    <w:rsid w:val="00481FD4"/>
    <w:pPr>
      <w:spacing w:after="0" w:line="240" w:lineRule="auto"/>
    </w:pPr>
    <w:rPr>
      <w:rFonts w:eastAsiaTheme="minorEastAsia"/>
      <w:lang w:val="nl-NL" w:eastAsia="nl-NL"/>
    </w:rPr>
  </w:style>
  <w:style w:type="character" w:customStyle="1" w:styleId="GeenafstandChar">
    <w:name w:val="Geen afstand Char"/>
    <w:basedOn w:val="Standaardalinea-lettertype"/>
    <w:link w:val="Geenafstand"/>
    <w:uiPriority w:val="1"/>
    <w:rsid w:val="00481FD4"/>
    <w:rPr>
      <w:rFonts w:eastAsiaTheme="minorEastAsia"/>
      <w:lang w:val="nl-NL" w:eastAsia="nl-NL"/>
    </w:rPr>
  </w:style>
  <w:style w:type="character" w:customStyle="1" w:styleId="Kop1Char">
    <w:name w:val="Kop 1 Char"/>
    <w:basedOn w:val="Standaardalinea-lettertype"/>
    <w:link w:val="Kop1"/>
    <w:uiPriority w:val="9"/>
    <w:rsid w:val="00481FD4"/>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481FD4"/>
    <w:pPr>
      <w:outlineLvl w:val="9"/>
    </w:pPr>
    <w:rPr>
      <w:lang w:val="nl-NL"/>
    </w:rPr>
  </w:style>
  <w:style w:type="paragraph" w:styleId="Inhopg1">
    <w:name w:val="toc 1"/>
    <w:basedOn w:val="Standaard"/>
    <w:next w:val="Standaard"/>
    <w:autoRedefine/>
    <w:uiPriority w:val="39"/>
    <w:unhideWhenUsed/>
    <w:rsid w:val="00481FD4"/>
    <w:pPr>
      <w:spacing w:after="100"/>
    </w:pPr>
  </w:style>
  <w:style w:type="character" w:styleId="Hyperlink">
    <w:name w:val="Hyperlink"/>
    <w:basedOn w:val="Standaardalinea-lettertype"/>
    <w:uiPriority w:val="99"/>
    <w:unhideWhenUsed/>
    <w:rsid w:val="00481FD4"/>
    <w:rPr>
      <w:color w:val="0000FF" w:themeColor="hyperlink"/>
      <w:u w:val="single"/>
    </w:rPr>
  </w:style>
  <w:style w:type="paragraph" w:styleId="Koptekst">
    <w:name w:val="header"/>
    <w:basedOn w:val="Standaard"/>
    <w:link w:val="KoptekstChar"/>
    <w:uiPriority w:val="99"/>
    <w:semiHidden/>
    <w:unhideWhenUsed/>
    <w:rsid w:val="00481FD4"/>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481FD4"/>
  </w:style>
  <w:style w:type="paragraph" w:styleId="Voettekst">
    <w:name w:val="footer"/>
    <w:basedOn w:val="Standaard"/>
    <w:link w:val="VoettekstChar"/>
    <w:uiPriority w:val="99"/>
    <w:unhideWhenUsed/>
    <w:rsid w:val="00481FD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81FD4"/>
  </w:style>
  <w:style w:type="character" w:customStyle="1" w:styleId="Kop2Char">
    <w:name w:val="Kop 2 Char"/>
    <w:basedOn w:val="Standaardalinea-lettertype"/>
    <w:link w:val="Kop2"/>
    <w:uiPriority w:val="9"/>
    <w:rsid w:val="00481FD4"/>
    <w:rPr>
      <w:rFonts w:asciiTheme="majorHAnsi" w:eastAsiaTheme="majorEastAsia" w:hAnsiTheme="majorHAnsi" w:cstheme="majorBidi"/>
      <w:b/>
      <w:bCs/>
      <w:color w:val="4F81BD" w:themeColor="accent1"/>
      <w:sz w:val="26"/>
      <w:szCs w:val="26"/>
      <w:lang w:val="en-US"/>
    </w:rPr>
  </w:style>
  <w:style w:type="paragraph" w:styleId="Inhopg2">
    <w:name w:val="toc 2"/>
    <w:basedOn w:val="Standaard"/>
    <w:next w:val="Standaard"/>
    <w:autoRedefine/>
    <w:uiPriority w:val="39"/>
    <w:unhideWhenUsed/>
    <w:rsid w:val="00481FD4"/>
    <w:pPr>
      <w:spacing w:after="100"/>
      <w:ind w:left="220"/>
    </w:pPr>
  </w:style>
  <w:style w:type="character" w:customStyle="1" w:styleId="Kop3Char">
    <w:name w:val="Kop 3 Char"/>
    <w:basedOn w:val="Standaardalinea-lettertype"/>
    <w:link w:val="Kop3"/>
    <w:uiPriority w:val="9"/>
    <w:rsid w:val="00481FD4"/>
    <w:rPr>
      <w:rFonts w:asciiTheme="majorHAnsi" w:eastAsiaTheme="majorEastAsia" w:hAnsiTheme="majorHAnsi" w:cstheme="majorBidi"/>
      <w:b/>
      <w:bCs/>
      <w:color w:val="4F81BD" w:themeColor="accent1"/>
      <w:sz w:val="24"/>
      <w:lang w:val="en-US"/>
    </w:rPr>
  </w:style>
  <w:style w:type="paragraph" w:styleId="Inhopg3">
    <w:name w:val="toc 3"/>
    <w:basedOn w:val="Standaard"/>
    <w:next w:val="Standaard"/>
    <w:autoRedefine/>
    <w:uiPriority w:val="39"/>
    <w:unhideWhenUsed/>
    <w:rsid w:val="00481FD4"/>
    <w:pPr>
      <w:spacing w:after="100"/>
      <w:ind w:left="440"/>
    </w:pPr>
  </w:style>
  <w:style w:type="character" w:customStyle="1" w:styleId="Kop4Char">
    <w:name w:val="Kop 4 Char"/>
    <w:basedOn w:val="Standaardalinea-lettertype"/>
    <w:link w:val="Kop4"/>
    <w:uiPriority w:val="9"/>
    <w:rsid w:val="00481FD4"/>
    <w:rPr>
      <w:rFonts w:asciiTheme="majorHAnsi" w:eastAsiaTheme="majorEastAsia" w:hAnsiTheme="majorHAnsi" w:cstheme="majorBidi"/>
      <w:b/>
      <w:bCs/>
      <w:i/>
      <w:iCs/>
      <w:color w:val="4F81BD" w:themeColor="accent1"/>
      <w:lang w:val="en-US"/>
    </w:rPr>
  </w:style>
  <w:style w:type="paragraph" w:styleId="Lijstalinea">
    <w:name w:val="List Paragraph"/>
    <w:basedOn w:val="Standaard"/>
    <w:uiPriority w:val="34"/>
    <w:qFormat/>
    <w:rsid w:val="00481FD4"/>
    <w:pPr>
      <w:ind w:left="720"/>
      <w:contextualSpacing/>
    </w:pPr>
  </w:style>
  <w:style w:type="character" w:customStyle="1" w:styleId="apple-converted-space">
    <w:name w:val="apple-converted-space"/>
    <w:basedOn w:val="Standaardalinea-lettertype"/>
    <w:rsid w:val="00481FD4"/>
  </w:style>
  <w:style w:type="paragraph" w:styleId="Bijschrift">
    <w:name w:val="caption"/>
    <w:basedOn w:val="Standaard"/>
    <w:next w:val="Standaard"/>
    <w:uiPriority w:val="35"/>
    <w:unhideWhenUsed/>
    <w:qFormat/>
    <w:rsid w:val="00481FD4"/>
    <w:pPr>
      <w:spacing w:line="240" w:lineRule="auto"/>
    </w:pPr>
    <w:rPr>
      <w:b/>
      <w:bCs/>
      <w:color w:val="4F81BD" w:themeColor="accent1"/>
      <w:sz w:val="18"/>
      <w:szCs w:val="18"/>
    </w:rPr>
  </w:style>
  <w:style w:type="table" w:styleId="Gemiddeldelijst2-accent1">
    <w:name w:val="Medium List 2 Accent 1"/>
    <w:basedOn w:val="Standaardtabel"/>
    <w:uiPriority w:val="66"/>
    <w:rsid w:val="00481FD4"/>
    <w:pPr>
      <w:spacing w:after="0" w:line="240" w:lineRule="auto"/>
    </w:pPr>
    <w:rPr>
      <w:rFonts w:asciiTheme="majorHAnsi" w:eastAsiaTheme="majorEastAsia" w:hAnsiTheme="majorHAnsi" w:cstheme="majorBidi"/>
      <w:color w:val="000000" w:themeColor="text1"/>
      <w:lang w:val="nl-N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chtelijst1">
    <w:name w:val="Lichte lijst1"/>
    <w:basedOn w:val="Standaardtabel"/>
    <w:uiPriority w:val="61"/>
    <w:rsid w:val="00481FD4"/>
    <w:pPr>
      <w:spacing w:after="0" w:line="240" w:lineRule="auto"/>
    </w:pPr>
    <w:rPr>
      <w:rFonts w:eastAsiaTheme="minorEastAsia"/>
      <w:lang w:val="nl-N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elraster">
    <w:name w:val="Table Grid"/>
    <w:basedOn w:val="Standaardtabel"/>
    <w:uiPriority w:val="59"/>
    <w:rsid w:val="00481F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ie">
    <w:name w:val="Bibliography"/>
    <w:basedOn w:val="Standaard"/>
    <w:next w:val="Standaard"/>
    <w:uiPriority w:val="37"/>
    <w:unhideWhenUsed/>
    <w:rsid w:val="00481FD4"/>
  </w:style>
  <w:style w:type="paragraph" w:styleId="Normaalweb">
    <w:name w:val="Normal (Web)"/>
    <w:basedOn w:val="Standaard"/>
    <w:uiPriority w:val="99"/>
    <w:semiHidden/>
    <w:unhideWhenUsed/>
    <w:rsid w:val="00481FD4"/>
    <w:pPr>
      <w:spacing w:before="100" w:beforeAutospacing="1" w:after="100" w:afterAutospacing="1" w:line="240" w:lineRule="auto"/>
    </w:pPr>
    <w:rPr>
      <w:rFonts w:ascii="Times New Roman" w:eastAsia="Times New Roman" w:hAnsi="Times New Roman" w:cs="Times New Roman"/>
      <w:szCs w:val="24"/>
      <w:lang w:val="nl-BE" w:eastAsia="nl-BE"/>
    </w:rPr>
  </w:style>
  <w:style w:type="character" w:styleId="Zwaar">
    <w:name w:val="Strong"/>
    <w:basedOn w:val="Standaardalinea-lettertype"/>
    <w:uiPriority w:val="22"/>
    <w:qFormat/>
    <w:rsid w:val="00481FD4"/>
    <w:rPr>
      <w:b/>
      <w:bCs/>
    </w:rPr>
  </w:style>
  <w:style w:type="paragraph" w:customStyle="1" w:styleId="last-child">
    <w:name w:val="last-child"/>
    <w:basedOn w:val="Standaard"/>
    <w:rsid w:val="00481FD4"/>
    <w:pPr>
      <w:spacing w:before="100" w:beforeAutospacing="1" w:after="100" w:afterAutospacing="1" w:line="240" w:lineRule="auto"/>
    </w:pPr>
    <w:rPr>
      <w:rFonts w:ascii="Times New Roman" w:eastAsia="Times New Roman" w:hAnsi="Times New Roman" w:cs="Times New Roman"/>
      <w:szCs w:val="24"/>
      <w:lang w:val="nl-BE" w:eastAsia="nl-BE"/>
    </w:rPr>
  </w:style>
  <w:style w:type="table" w:styleId="Lichtelijst-accent3">
    <w:name w:val="Light List Accent 3"/>
    <w:basedOn w:val="Standaardtabel"/>
    <w:uiPriority w:val="61"/>
    <w:rsid w:val="00481FD4"/>
    <w:pPr>
      <w:spacing w:after="0" w:line="240" w:lineRule="auto"/>
    </w:pPr>
    <w:rPr>
      <w:rFonts w:eastAsiaTheme="minorEastAsia"/>
      <w:lang w:val="nl-N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Verwijzingopmerking">
    <w:name w:val="annotation reference"/>
    <w:basedOn w:val="Standaardalinea-lettertype"/>
    <w:uiPriority w:val="99"/>
    <w:semiHidden/>
    <w:unhideWhenUsed/>
    <w:rsid w:val="00481FD4"/>
    <w:rPr>
      <w:sz w:val="16"/>
      <w:szCs w:val="16"/>
    </w:rPr>
  </w:style>
  <w:style w:type="paragraph" w:styleId="Tekstopmerking">
    <w:name w:val="annotation text"/>
    <w:basedOn w:val="Standaard"/>
    <w:link w:val="TekstopmerkingChar"/>
    <w:uiPriority w:val="99"/>
    <w:semiHidden/>
    <w:unhideWhenUsed/>
    <w:rsid w:val="00481FD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81FD4"/>
    <w:rPr>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481FD4"/>
    <w:rPr>
      <w:b/>
      <w:bCs/>
    </w:rPr>
  </w:style>
  <w:style w:type="character" w:customStyle="1" w:styleId="OnderwerpvanopmerkingChar">
    <w:name w:val="Onderwerp van opmerking Char"/>
    <w:basedOn w:val="TekstopmerkingChar"/>
    <w:link w:val="Onderwerpvanopmerking"/>
    <w:uiPriority w:val="99"/>
    <w:semiHidden/>
    <w:rsid w:val="00481FD4"/>
    <w:rPr>
      <w:b/>
      <w:bCs/>
      <w:sz w:val="20"/>
      <w:szCs w:val="20"/>
      <w:lang w:val="en-US"/>
    </w:rPr>
  </w:style>
  <w:style w:type="table" w:styleId="Lichtraster-accent3">
    <w:name w:val="Light Grid Accent 3"/>
    <w:basedOn w:val="Standaardtabel"/>
    <w:uiPriority w:val="62"/>
    <w:rsid w:val="00481FD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Voetnoottekst">
    <w:name w:val="footnote text"/>
    <w:basedOn w:val="Standaard"/>
    <w:link w:val="VoetnoottekstChar"/>
    <w:uiPriority w:val="99"/>
    <w:semiHidden/>
    <w:unhideWhenUsed/>
    <w:rsid w:val="00481FD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81FD4"/>
    <w:rPr>
      <w:sz w:val="20"/>
      <w:szCs w:val="20"/>
      <w:lang w:val="en-US"/>
    </w:rPr>
  </w:style>
  <w:style w:type="character" w:styleId="Voetnootmarkering">
    <w:name w:val="footnote reference"/>
    <w:basedOn w:val="Standaardalinea-lettertype"/>
    <w:uiPriority w:val="99"/>
    <w:semiHidden/>
    <w:unhideWhenUsed/>
    <w:rsid w:val="00481FD4"/>
    <w:rPr>
      <w:vertAlign w:val="superscript"/>
    </w:rPr>
  </w:style>
</w:styles>
</file>

<file path=word/webSettings.xml><?xml version="1.0" encoding="utf-8"?>
<w:webSettings xmlns:r="http://schemas.openxmlformats.org/officeDocument/2006/relationships" xmlns:w="http://schemas.openxmlformats.org/wordprocessingml/2006/main">
  <w:divs>
    <w:div w:id="1122072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34"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chart" Target="charts/chart1.xml"/><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2.xml"/><Relationship Id="rId35"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file:///E:\4e%20jaar\Thesis\RO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BE"/>
  <c:chart>
    <c:title>
      <c:tx>
        <c:rich>
          <a:bodyPr/>
          <a:lstStyle/>
          <a:p>
            <a:pPr>
              <a:defRPr/>
            </a:pPr>
            <a:r>
              <a:rPr lang="en-US"/>
              <a:t>Return</a:t>
            </a:r>
            <a:r>
              <a:rPr lang="en-US" baseline="0"/>
              <a:t> on investment</a:t>
            </a:r>
            <a:endParaRPr lang="en-US"/>
          </a:p>
        </c:rich>
      </c:tx>
    </c:title>
    <c:plotArea>
      <c:layout/>
      <c:lineChart>
        <c:grouping val="standard"/>
        <c:ser>
          <c:idx val="0"/>
          <c:order val="0"/>
          <c:spPr>
            <a:ln w="25400" cap="flat" cmpd="sng" algn="ctr">
              <a:solidFill>
                <a:schemeClr val="accent3"/>
              </a:solidFill>
              <a:prstDash val="solid"/>
            </a:ln>
            <a:effectLst/>
          </c:spPr>
          <c:marker>
            <c:symbol val="none"/>
          </c:marker>
          <c:cat>
            <c:numRef>
              <c:f>Sheet1!$F$37:$F$51</c:f>
              <c:numCache>
                <c:formatCode>0%</c:formatCode>
                <c:ptCount val="15"/>
                <c:pt idx="0">
                  <c:v>0.05</c:v>
                </c:pt>
                <c:pt idx="1">
                  <c:v>0.1</c:v>
                </c:pt>
                <c:pt idx="2">
                  <c:v>0.15000000000000024</c:v>
                </c:pt>
                <c:pt idx="3">
                  <c:v>0.2</c:v>
                </c:pt>
                <c:pt idx="4">
                  <c:v>0.25</c:v>
                </c:pt>
                <c:pt idx="5">
                  <c:v>0.30000000000000032</c:v>
                </c:pt>
                <c:pt idx="6">
                  <c:v>0.35000000000000031</c:v>
                </c:pt>
                <c:pt idx="7">
                  <c:v>0.4</c:v>
                </c:pt>
                <c:pt idx="8">
                  <c:v>0.45</c:v>
                </c:pt>
                <c:pt idx="9">
                  <c:v>0.5</c:v>
                </c:pt>
                <c:pt idx="10">
                  <c:v>0.60000000000000064</c:v>
                </c:pt>
                <c:pt idx="11">
                  <c:v>0.70000000000000062</c:v>
                </c:pt>
                <c:pt idx="12">
                  <c:v>0.8</c:v>
                </c:pt>
                <c:pt idx="13">
                  <c:v>0.9</c:v>
                </c:pt>
                <c:pt idx="14">
                  <c:v>1</c:v>
                </c:pt>
              </c:numCache>
            </c:numRef>
          </c:cat>
          <c:val>
            <c:numRef>
              <c:f>Sheet1!$G$37:$G$51</c:f>
              <c:numCache>
                <c:formatCode>General</c:formatCode>
                <c:ptCount val="15"/>
                <c:pt idx="0">
                  <c:v>112</c:v>
                </c:pt>
                <c:pt idx="1">
                  <c:v>44</c:v>
                </c:pt>
                <c:pt idx="2">
                  <c:v>27</c:v>
                </c:pt>
                <c:pt idx="3">
                  <c:v>20</c:v>
                </c:pt>
                <c:pt idx="4">
                  <c:v>16</c:v>
                </c:pt>
                <c:pt idx="5">
                  <c:v>13</c:v>
                </c:pt>
                <c:pt idx="6">
                  <c:v>11</c:v>
                </c:pt>
                <c:pt idx="7">
                  <c:v>9</c:v>
                </c:pt>
                <c:pt idx="8">
                  <c:v>8</c:v>
                </c:pt>
                <c:pt idx="9">
                  <c:v>7</c:v>
                </c:pt>
                <c:pt idx="10">
                  <c:v>6</c:v>
                </c:pt>
                <c:pt idx="11">
                  <c:v>5.5</c:v>
                </c:pt>
                <c:pt idx="12">
                  <c:v>5</c:v>
                </c:pt>
                <c:pt idx="13">
                  <c:v>4</c:v>
                </c:pt>
                <c:pt idx="14">
                  <c:v>3.5</c:v>
                </c:pt>
              </c:numCache>
            </c:numRef>
          </c:val>
        </c:ser>
        <c:marker val="1"/>
        <c:axId val="94066560"/>
        <c:axId val="94081408"/>
      </c:lineChart>
      <c:catAx>
        <c:axId val="94066560"/>
        <c:scaling>
          <c:orientation val="minMax"/>
        </c:scaling>
        <c:axPos val="b"/>
        <c:title>
          <c:tx>
            <c:rich>
              <a:bodyPr/>
              <a:lstStyle/>
              <a:p>
                <a:pPr>
                  <a:defRPr/>
                </a:pPr>
                <a:r>
                  <a:rPr lang="nl-NL"/>
                  <a:t>ECA</a:t>
                </a:r>
                <a:r>
                  <a:rPr lang="nl-NL" baseline="0"/>
                  <a:t> % - Operational Profile</a:t>
                </a:r>
                <a:endParaRPr lang="nl-NL"/>
              </a:p>
            </c:rich>
          </c:tx>
        </c:title>
        <c:numFmt formatCode="0%" sourceLinked="1"/>
        <c:majorTickMark val="none"/>
        <c:tickLblPos val="nextTo"/>
        <c:crossAx val="94081408"/>
        <c:crosses val="autoZero"/>
        <c:auto val="1"/>
        <c:lblAlgn val="ctr"/>
        <c:lblOffset val="100"/>
      </c:catAx>
      <c:valAx>
        <c:axId val="94081408"/>
        <c:scaling>
          <c:orientation val="minMax"/>
        </c:scaling>
        <c:axPos val="l"/>
        <c:majorGridlines/>
        <c:title>
          <c:tx>
            <c:rich>
              <a:bodyPr rot="-5400000" vert="horz"/>
              <a:lstStyle/>
              <a:p>
                <a:pPr>
                  <a:defRPr/>
                </a:pPr>
                <a:r>
                  <a:rPr lang="nl-NL"/>
                  <a:t>Years</a:t>
                </a:r>
                <a:r>
                  <a:rPr lang="nl-NL" baseline="0"/>
                  <a:t> in </a:t>
                </a:r>
                <a:r>
                  <a:rPr lang="nl-NL"/>
                  <a:t>Operation</a:t>
                </a:r>
              </a:p>
            </c:rich>
          </c:tx>
        </c:title>
        <c:numFmt formatCode="General" sourceLinked="1"/>
        <c:tickLblPos val="nextTo"/>
        <c:crossAx val="94066560"/>
        <c:crosses val="autoZero"/>
        <c:crossBetween val="between"/>
      </c:valAx>
    </c:plotArea>
    <c:plotVisOnly val="1"/>
  </c:chart>
  <c:externalData r:id="rId1"/>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b:Source>
    <b:Tag>CFL</b:Tag>
    <b:SourceType>InternetSite</b:SourceType>
    <b:Guid>{FAA81ECD-07CD-4525-B692-921D540175C4}</b:Guid>
    <b:Author>
      <b:Author>
        <b:NameList>
          <b:Person>
            <b:Last>CFL</b:Last>
          </b:Person>
        </b:NameList>
      </b:Author>
    </b:Author>
    <b:Title>Fleet</b:Title>
    <b:InternetSiteTitle>Canada Feeder Lines</b:InternetSiteTitle>
    <b:URL>https://www.cfl.nl/content/fleet/over-onze-vloot-1</b:URL>
    <b:RefOrder>1</b:RefOrder>
  </b:Source>
  <b:Source>
    <b:Tag>Ale11</b:Tag>
    <b:SourceType>Report</b:SourceType>
    <b:Guid>{119F90F0-EBFE-4172-96C0-E59EE6136F0A}</b:Guid>
    <b:Author>
      <b:Author>
        <b:NameList>
          <b:Person>
            <b:Last>Hombravella</b:Last>
            <b:First>Alejandro</b:First>
          </b:Person>
          <b:Person>
            <b:Last>Kilicaslan</b:Last>
            <b:First>Alican</b:First>
          </b:Person>
          <b:Person>
            <b:Last>Péralès</b:Last>
            <b:First>Jérémy</b:First>
          </b:Person>
          <b:Person>
            <b:Last>Rüss</b:Last>
            <b:First>Carolin</b:First>
          </b:Person>
        </b:NameList>
      </b:Author>
    </b:Author>
    <b:Title>Study of Exhaust Gas Cleaning Systems for vessels to fulfill IMO III in 2016</b:Title>
    <b:Year>2011</b:Year>
    <b:RefOrder>5</b:RefOrder>
  </b:Source>
  <b:Source>
    <b:Tag>Dik14</b:Tag>
    <b:SourceType>Report</b:SourceType>
    <b:Guid>{FAD8471A-ECD1-4FA2-9427-BBA218A8D9D5}</b:Guid>
    <b:Author>
      <b:Author>
        <b:NameList>
          <b:Person>
            <b:Last>Diks</b:Last>
            <b:First>René</b:First>
          </b:Person>
        </b:NameList>
      </b:Author>
    </b:Author>
    <b:Title>Deciding your route to SOx compliance</b:Title>
    <b:Year>2014</b:Year>
    <b:Publisher>Alfa Laval</b:Publisher>
    <b:RefOrder>14</b:RefOrder>
  </b:Source>
  <b:Source>
    <b:Tag>Cat15</b:Tag>
    <b:SourceType>Book</b:SourceType>
    <b:Guid>{0A6142B5-AAC4-4189-85C8-14EB25509A7F}</b:Guid>
    <b:Author>
      <b:Author>
        <b:NameList>
          <b:Person>
            <b:Last>Austin</b:Last>
            <b:First>Catherine</b:First>
          </b:Person>
        </b:NameList>
      </b:Author>
    </b:Author>
    <b:Title>Marine Scrubbers: The Guide 2015</b:Title>
    <b:Year>2015</b:Year>
    <b:Publisher>Fathom</b:Publisher>
    <b:City>Berkshire</b:City>
    <b:RefOrder>6</b:RefOrder>
  </b:Source>
  <b:Source>
    <b:Tag>Shi16</b:Tag>
    <b:SourceType>InternetSite</b:SourceType>
    <b:Guid>{C1C96F1A-E878-4B9C-9F11-58B46589B15D}</b:Guid>
    <b:Author>
      <b:Author>
        <b:NameList>
          <b:Person>
            <b:Last>Ship&amp;Bunker</b:Last>
          </b:Person>
        </b:NameList>
      </b:Author>
    </b:Author>
    <b:Year>2016</b:Year>
    <b:InternetSiteTitle>Ship and Bunker</b:InternetSiteTitle>
    <b:Month>feb</b:Month>
    <b:YearAccessed>2016</b:YearAccessed>
    <b:URL>http://shipandbunker.com/prices/emea/nwe/nl-rtm-rotterdam#LSMGO</b:URL>
    <b:RefOrder>15</b:RefOrder>
  </b:Source>
  <b:Source>
    <b:Tag>ABS11</b:Tag>
    <b:SourceType>ElectronicSource</b:SourceType>
    <b:Guid>{72D9B641-0AB3-4C9E-B41C-C32C52C80614}</b:Guid>
    <b:Author>
      <b:Author>
        <b:NameList>
          <b:Person>
            <b:Last>EGCSA</b:Last>
          </b:Person>
        </b:NameList>
      </b:Author>
    </b:Author>
    <b:Title>Exhaust Gas Cleaning Systems Selection Guide</b:Title>
    <b:Year>2011</b:Year>
    <b:RefOrder>16</b:RefOrder>
  </b:Source>
  <b:Source>
    <b:Tag>CED</b:Tag>
    <b:SourceType>ElectronicSource</b:SourceType>
    <b:Guid>{72DCC0F4-9151-46B5-8487-51495CDABCC8}</b:Guid>
    <b:Author>
      <b:Author>
        <b:NameList>
          <b:Person>
            <b:Last>Delft</b:Last>
            <b:First>CE</b:First>
          </b:Person>
        </b:NameList>
      </b:Author>
    </b:Author>
    <b:Title>Scrubber - An Economic and Ecological Assessment </b:Title>
    <b:CountryRegion>2015</b:CountryRegion>
    <b:RefOrder>17</b:RefOrder>
  </b:Source>
  <b:Source>
    <b:Tag>DNV12</b:Tag>
    <b:SourceType>ElectronicSource</b:SourceType>
    <b:Guid>{11E38C4B-2BC8-48FD-812C-F5CF9C54D637}</b:Guid>
    <b:Author>
      <b:Author>
        <b:NameList>
          <b:Person>
            <b:Last>DNV</b:Last>
          </b:Person>
        </b:NameList>
      </b:Author>
    </b:Author>
    <b:Title>Maritime Fuel Price and Uptake Projections to 2035, DNV Research &amp; Innovation</b:Title>
    <b:Year>2012</b:Year>
    <b:RefOrder>10</b:RefOrder>
  </b:Source>
  <b:Source>
    <b:Tag>Boy14</b:Tag>
    <b:SourceType>Report</b:SourceType>
    <b:Guid>{7B3BFDB4-3CFC-43DC-AE4C-356A10284E03}</b:Guid>
    <b:Author>
      <b:Author>
        <b:NameList>
          <b:Person>
            <b:Last>Brouwer</b:Last>
            <b:First>Boy</b:First>
          </b:Person>
        </b:NameList>
      </b:Author>
    </b:Author>
    <b:Title>In-depth assignment</b:Title>
    <b:Year>2014</b:Year>
    <b:Publisher>Anthony Veder</b:Publisher>
    <b:RefOrder>8</b:RefOrder>
  </b:Source>
  <b:Source>
    <b:Tag>ABS13</b:Tag>
    <b:SourceType>Report</b:SourceType>
    <b:Guid>{6E3D2DFD-3478-47D2-8194-A8BA496BFF54}</b:Guid>
    <b:Author>
      <b:Author>
        <b:NameList>
          <b:Person>
            <b:Last>ABS</b:Last>
          </b:Person>
        </b:NameList>
      </b:Author>
    </b:Author>
    <b:Title>Exhaust Gas Scrubber Systems Advisory</b:Title>
    <b:Year>2013</b:Year>
    <b:Publisher>ABS</b:Publisher>
    <b:RefOrder>13</b:RefOrder>
  </b:Source>
  <b:Source>
    <b:Tag>Ira15</b:Tag>
    <b:SourceType>ElectronicSource</b:SourceType>
    <b:Guid>{0E57B4E8-4754-4A9A-9D52-330F320CE9B1}</b:Guid>
    <b:Author>
      <b:Author>
        <b:NameList>
          <b:Person>
            <b:Last>Panasiuk</b:Last>
            <b:First>Irana</b:First>
          </b:Person>
        </b:NameList>
      </b:Author>
    </b:Author>
    <b:Title>The evaluation of investments efficiency of SOx scrubber installation</b:Title>
    <b:Year>2015</b:Year>
    <b:JournalName>Elsevier</b:JournalName>
    <b:Pages>10</b:Pages>
    <b:RefOrder>11</b:RefOrder>
  </b:Source>
  <b:Source>
    <b:Tag>Pan14</b:Tag>
    <b:SourceType>ElectronicSource</b:SourceType>
    <b:Guid>{1B0AD03D-1707-4C8B-8576-BF0261C7D1DF}</b:Guid>
    <b:Author>
      <b:Author>
        <b:NameList>
          <b:Person>
            <b:Last>Panasiuk</b:Last>
            <b:First>Irina</b:First>
          </b:Person>
        </b:NameList>
      </b:Author>
    </b:Author>
    <b:Title>Selection of Exhaust Scrubber: Concept for Optimal Solution</b:Title>
    <b:City>Klaipeda University</b:City>
    <b:CountryRegion>Lithuania</b:CountryRegion>
    <b:Year>2014</b:Year>
    <b:RefOrder>9</b:RefOrder>
  </b:Source>
  <b:Source>
    <b:Tag>KVH16</b:Tag>
    <b:SourceType>ArticleInAPeriodical</b:SourceType>
    <b:Guid>{A7056763-6865-44FB-8525-FF6CB66B791D}</b:Guid>
    <b:Author>
      <b:Author>
        <b:NameList>
          <b:Person>
            <b:Last>Group</b:Last>
            <b:First>KVH</b:First>
            <b:Middle>Media</b:Middle>
          </b:Person>
        </b:NameList>
      </b:Author>
    </b:Author>
    <b:Title>Bunker Prices</b:Title>
    <b:PeriodicalTitle>Maritime News</b:PeriodicalTitle>
    <b:Year>2016</b:Year>
    <b:Month>03</b:Month>
    <b:Day>07</b:Day>
    <b:Pages>1</b:Pages>
    <b:RefOrder>3</b:RefOrder>
  </b:Source>
  <b:Source>
    <b:Tag>Kli12</b:Tag>
    <b:SourceType>Report</b:SourceType>
    <b:Guid>{B4B63F37-65ED-4192-B656-A898AF60AFCF}</b:Guid>
    <b:Author>
      <b:Author>
        <b:NameList>
          <b:Person>
            <b:Last>Klimt-Mollenbach</b:Last>
            <b:First>Christian</b:First>
          </b:Person>
          <b:Person>
            <b:Last>Schack</b:Last>
            <b:First>Christian</b:First>
          </b:Person>
          <b:Person>
            <b:Last>Eefsen</b:Last>
            <b:First>Thomas</b:First>
          </b:Person>
          <b:Person>
            <b:Last>De Kat</b:Last>
            <b:First>Jean</b:First>
          </b:Person>
        </b:NameList>
      </b:Author>
    </b:Author>
    <b:Title>Green ship of the future</b:Title>
    <b:Year>2012</b:Year>
    <b:Publisher>Greenship</b:Publisher>
    <b:RefOrder>4</b:RefOrder>
  </b:Source>
  <b:Source>
    <b:Tag>Alf15</b:Tag>
    <b:SourceType>InternetSite</b:SourceType>
    <b:Guid>{43885B85-3E26-4E31-B5C0-332B30A53FE9}</b:Guid>
    <b:Author>
      <b:Author>
        <b:NameList>
          <b:Person>
            <b:Last>Laval</b:Last>
            <b:First>Alfa</b:First>
          </b:Person>
        </b:NameList>
      </b:Author>
    </b:Author>
    <b:Title>ECA zones</b:Title>
    <b:Year>2015</b:Year>
    <b:InternetSiteTitle>Alfa Laval</b:InternetSiteTitle>
    <b:YearAccessed>2016</b:YearAccessed>
    <b:MonthAccessed>maart</b:MonthAccessed>
    <b:DayAccessed>23</b:DayAccessed>
    <b:URL>http://www.alfalaval.com</b:URL>
    <b:RefOrder>7</b:RefOrder>
  </b:Source>
  <b:Source>
    <b:Tag>Vin16</b:Tag>
    <b:SourceType>InternetSite</b:SourceType>
    <b:Guid>{C6751831-6331-412F-8B8E-FC5B8A97FF4F}</b:Guid>
    <b:Author>
      <b:Author>
        <b:NameList>
          <b:Person>
            <b:Last>GmbH&amp;Ko</b:Last>
            <b:First>Vinnolit</b:First>
          </b:Person>
        </b:NameList>
      </b:Author>
    </b:Author>
    <b:Title>Caustic Soda Solution (NaOH 50%)</b:Title>
    <b:Year>2011</b:Year>
    <b:Month>January</b:Month>
    <b:Day>10</b:Day>
    <b:InternetSiteTitle>www.vinnolit.com</b:InternetSiteTitle>
    <b:YearAccessed>2016</b:YearAccessed>
    <b:MonthAccessed>April</b:MonthAccessed>
    <b:DayAccessed>5</b:DayAccessed>
    <b:RefOrder>12</b:RefOrder>
  </b:Source>
  <b:Source>
    <b:Tag>CIM13</b:Tag>
    <b:SourceType>ElectronicSource</b:SourceType>
    <b:Guid>{177C978F-20AD-4A1E-8C82-2603FC2BDABD}</b:Guid>
    <b:LCID>0</b:LCID>
    <b:Author>
      <b:Author>
        <b:NameList>
          <b:Person>
            <b:Last>CIMAC</b:Last>
          </b:Person>
        </b:NameList>
      </b:Author>
    </b:Author>
    <b:Title>Guideline for the operation of marine engines on low sulphur diesel</b:Title>
    <b:Year>2013</b:Yea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9A38BE-3386-40A4-85B7-D3A813016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7876</Words>
  <Characters>43324</Characters>
  <Application>Microsoft Office Word</Application>
  <DocSecurity>0</DocSecurity>
  <Lines>361</Lines>
  <Paragraphs>102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CFL</Company>
  <LinksUpToDate>false</LinksUpToDate>
  <CharactersWithSpaces>51098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Thesis</dc:subject>
  <dc:creator>Jonas Boelens</dc:creator>
  <cp:lastModifiedBy>Rita</cp:lastModifiedBy>
  <cp:revision>3</cp:revision>
  <dcterms:created xsi:type="dcterms:W3CDTF">2016-08-16T15:11:00Z</dcterms:created>
  <dcterms:modified xsi:type="dcterms:W3CDTF">2016-08-19T10:16:00Z</dcterms:modified>
</cp:coreProperties>
</file>