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33" w:rsidRDefault="00F108BD" w:rsidP="00A53E33">
      <w:pPr>
        <w:spacing w:line="480" w:lineRule="auto"/>
        <w:outlineLvl w:val="0"/>
        <w:rPr>
          <w:b/>
          <w:sz w:val="22"/>
          <w:szCs w:val="22"/>
          <w:lang w:val="en-GB"/>
        </w:rPr>
      </w:pPr>
      <w:r>
        <w:rPr>
          <w:b/>
          <w:sz w:val="22"/>
          <w:szCs w:val="22"/>
          <w:lang w:val="en-GB"/>
        </w:rPr>
        <w:t xml:space="preserve"> </w:t>
      </w:r>
      <w:r w:rsidR="00A53E33" w:rsidRPr="00DF3609">
        <w:rPr>
          <w:b/>
          <w:sz w:val="22"/>
          <w:szCs w:val="22"/>
          <w:lang w:val="en-GB"/>
        </w:rPr>
        <w:t>Social participation and psychosocial outcomes of young adults with chronic physical conditions: Comparing disability benefit recipients and non-recipients</w:t>
      </w:r>
    </w:p>
    <w:p w:rsidR="00A53E33" w:rsidRPr="00DF3609" w:rsidRDefault="00A53E33" w:rsidP="00A53E33">
      <w:pPr>
        <w:spacing w:line="480" w:lineRule="auto"/>
        <w:outlineLvl w:val="0"/>
        <w:rPr>
          <w:b/>
          <w:sz w:val="22"/>
          <w:szCs w:val="22"/>
          <w:lang w:val="en-GB"/>
        </w:rPr>
      </w:pPr>
    </w:p>
    <w:p w:rsidR="00A53E33" w:rsidRPr="0065554C" w:rsidRDefault="00A53E33" w:rsidP="00A53E33">
      <w:pPr>
        <w:spacing w:line="480" w:lineRule="auto"/>
        <w:outlineLvl w:val="0"/>
        <w:rPr>
          <w:sz w:val="22"/>
          <w:szCs w:val="22"/>
          <w:lang w:val="en-US"/>
        </w:rPr>
      </w:pPr>
      <w:r w:rsidRPr="0065554C">
        <w:rPr>
          <w:sz w:val="22"/>
          <w:szCs w:val="22"/>
          <w:lang w:val="en-US"/>
        </w:rPr>
        <w:t>Marjolijn I. Bal, MSc</w:t>
      </w:r>
      <w:r w:rsidRPr="0065554C">
        <w:rPr>
          <w:sz w:val="22"/>
          <w:szCs w:val="22"/>
          <w:vertAlign w:val="superscript"/>
          <w:lang w:val="en-US"/>
        </w:rPr>
        <w:t>a,b</w:t>
      </w:r>
      <w:r>
        <w:rPr>
          <w:sz w:val="22"/>
          <w:szCs w:val="22"/>
          <w:vertAlign w:val="superscript"/>
          <w:lang w:val="en-US"/>
        </w:rPr>
        <w:t>,</w:t>
      </w:r>
      <w:r w:rsidRPr="0065554C">
        <w:rPr>
          <w:sz w:val="22"/>
          <w:szCs w:val="22"/>
          <w:vertAlign w:val="superscript"/>
          <w:lang w:val="en-US"/>
        </w:rPr>
        <w:t>§</w:t>
      </w:r>
      <w:r w:rsidRPr="0065554C">
        <w:rPr>
          <w:sz w:val="22"/>
          <w:szCs w:val="22"/>
          <w:lang w:val="en-US"/>
        </w:rPr>
        <w:t xml:space="preserve"> , Jane N.T. Sattoe, PhD</w:t>
      </w:r>
      <w:r>
        <w:rPr>
          <w:sz w:val="22"/>
          <w:szCs w:val="22"/>
          <w:vertAlign w:val="superscript"/>
          <w:lang w:val="en-US"/>
        </w:rPr>
        <w:t>a</w:t>
      </w:r>
      <w:r w:rsidRPr="0065554C">
        <w:rPr>
          <w:sz w:val="22"/>
          <w:szCs w:val="22"/>
          <w:vertAlign w:val="superscript"/>
          <w:lang w:val="en-US"/>
        </w:rPr>
        <w:t>,</w:t>
      </w:r>
      <w:r w:rsidRPr="0065554C">
        <w:rPr>
          <w:sz w:val="22"/>
          <w:szCs w:val="22"/>
          <w:lang w:val="en-US"/>
        </w:rPr>
        <w:t xml:space="preserve"> , Harald S. Miedema, PhD</w:t>
      </w:r>
      <w:r w:rsidRPr="0065554C">
        <w:rPr>
          <w:sz w:val="22"/>
          <w:szCs w:val="22"/>
          <w:vertAlign w:val="superscript"/>
          <w:lang w:val="en-US"/>
        </w:rPr>
        <w:t>a</w:t>
      </w:r>
      <w:r w:rsidRPr="0065554C">
        <w:rPr>
          <w:sz w:val="22"/>
          <w:szCs w:val="22"/>
          <w:lang w:val="en-US"/>
        </w:rPr>
        <w:t>, AnneLoes van Staa, PhD</w:t>
      </w:r>
      <w:r w:rsidRPr="0065554C">
        <w:rPr>
          <w:sz w:val="22"/>
          <w:szCs w:val="22"/>
          <w:vertAlign w:val="superscript"/>
          <w:lang w:val="en-US"/>
        </w:rPr>
        <w:t>a, c</w:t>
      </w:r>
    </w:p>
    <w:p w:rsidR="00A53E33" w:rsidRPr="0065554C" w:rsidRDefault="00A53E33" w:rsidP="00A53E33">
      <w:pPr>
        <w:spacing w:line="480" w:lineRule="auto"/>
        <w:outlineLvl w:val="0"/>
        <w:rPr>
          <w:b/>
          <w:sz w:val="22"/>
          <w:szCs w:val="22"/>
          <w:lang w:val="en-US"/>
        </w:rPr>
      </w:pPr>
    </w:p>
    <w:p w:rsidR="00A53E33" w:rsidRPr="00DF3609" w:rsidRDefault="00A53E33" w:rsidP="00A53E33">
      <w:pPr>
        <w:spacing w:line="480" w:lineRule="auto"/>
        <w:outlineLvl w:val="0"/>
        <w:rPr>
          <w:sz w:val="22"/>
          <w:szCs w:val="22"/>
          <w:lang w:val="en-US"/>
        </w:rPr>
      </w:pPr>
      <w:r w:rsidRPr="00DF3609">
        <w:rPr>
          <w:sz w:val="22"/>
          <w:szCs w:val="22"/>
          <w:vertAlign w:val="superscript"/>
          <w:lang w:val="en-US"/>
        </w:rPr>
        <w:t>a</w:t>
      </w:r>
      <w:r w:rsidRPr="00DF3609">
        <w:rPr>
          <w:sz w:val="22"/>
          <w:szCs w:val="22"/>
          <w:lang w:val="en-US"/>
        </w:rPr>
        <w:t>Rotterdam University of Applied Sciences, Research Centre Innovations in Care, Rotterdam, the Netherlands</w:t>
      </w:r>
    </w:p>
    <w:p w:rsidR="00A53E33" w:rsidRPr="00DF3609" w:rsidRDefault="00A53E33" w:rsidP="00A53E33">
      <w:pPr>
        <w:spacing w:line="480" w:lineRule="auto"/>
        <w:outlineLvl w:val="0"/>
        <w:rPr>
          <w:sz w:val="22"/>
          <w:szCs w:val="22"/>
          <w:lang w:val="en-US"/>
        </w:rPr>
      </w:pPr>
      <w:r w:rsidRPr="00DF3609">
        <w:rPr>
          <w:sz w:val="22"/>
          <w:szCs w:val="22"/>
          <w:vertAlign w:val="superscript"/>
          <w:lang w:val="en-US"/>
        </w:rPr>
        <w:t>b</w:t>
      </w:r>
      <w:r w:rsidRPr="00DF3609">
        <w:rPr>
          <w:sz w:val="22"/>
          <w:szCs w:val="22"/>
          <w:lang w:val="en-US"/>
        </w:rPr>
        <w:t>Erasmus MC University Medical Center Rotterdam, Department of Rehabilitation Medicine, Rotterdam, the Netherlands</w:t>
      </w:r>
    </w:p>
    <w:p w:rsidR="00A53E33" w:rsidRPr="00DF3609" w:rsidRDefault="00A53E33" w:rsidP="00A53E33">
      <w:pPr>
        <w:spacing w:line="480" w:lineRule="auto"/>
        <w:outlineLvl w:val="0"/>
        <w:rPr>
          <w:sz w:val="22"/>
          <w:szCs w:val="22"/>
          <w:lang w:val="en-US"/>
        </w:rPr>
      </w:pPr>
      <w:r w:rsidRPr="00DF3609">
        <w:rPr>
          <w:sz w:val="22"/>
          <w:szCs w:val="22"/>
          <w:vertAlign w:val="superscript"/>
          <w:lang w:val="en-US"/>
        </w:rPr>
        <w:t>c</w:t>
      </w:r>
      <w:r w:rsidRPr="00DF3609">
        <w:rPr>
          <w:sz w:val="22"/>
          <w:szCs w:val="22"/>
          <w:lang w:val="en-US"/>
        </w:rPr>
        <w:t>Erasmus University Rotterdam, institute of Health Policy &amp; Management, Rotterdam, the Netherlands</w:t>
      </w:r>
    </w:p>
    <w:p w:rsidR="00A53E33" w:rsidRPr="00DF3609" w:rsidRDefault="00A53E33" w:rsidP="00A53E33">
      <w:pPr>
        <w:spacing w:line="480" w:lineRule="auto"/>
        <w:outlineLvl w:val="0"/>
        <w:rPr>
          <w:b/>
          <w:sz w:val="22"/>
          <w:szCs w:val="22"/>
          <w:lang w:val="en-US"/>
        </w:rPr>
      </w:pPr>
    </w:p>
    <w:p w:rsidR="00A53E33" w:rsidRPr="00DF3609" w:rsidRDefault="00A53E33" w:rsidP="00A53E33">
      <w:pPr>
        <w:spacing w:line="480" w:lineRule="auto"/>
        <w:outlineLvl w:val="0"/>
        <w:rPr>
          <w:sz w:val="22"/>
          <w:szCs w:val="22"/>
          <w:lang w:val="en-US"/>
        </w:rPr>
      </w:pPr>
      <w:r w:rsidRPr="00DF3609">
        <w:rPr>
          <w:sz w:val="22"/>
          <w:szCs w:val="22"/>
          <w:lang w:val="en-US"/>
        </w:rPr>
        <w:t>§Corresponding author:</w:t>
      </w:r>
    </w:p>
    <w:p w:rsidR="00A53E33" w:rsidRPr="00DF3609" w:rsidRDefault="00A53E33" w:rsidP="00A53E33">
      <w:pPr>
        <w:spacing w:line="480" w:lineRule="auto"/>
        <w:outlineLvl w:val="0"/>
        <w:rPr>
          <w:sz w:val="22"/>
          <w:szCs w:val="22"/>
          <w:lang w:val="en-US"/>
        </w:rPr>
      </w:pPr>
      <w:r w:rsidRPr="00DF3609">
        <w:rPr>
          <w:sz w:val="22"/>
          <w:szCs w:val="22"/>
          <w:lang w:val="en-US"/>
        </w:rPr>
        <w:t>P.O. Box 25035</w:t>
      </w:r>
    </w:p>
    <w:p w:rsidR="00A53E33" w:rsidRPr="00DF3609" w:rsidRDefault="00A53E33" w:rsidP="00A53E33">
      <w:pPr>
        <w:spacing w:line="480" w:lineRule="auto"/>
        <w:outlineLvl w:val="0"/>
        <w:rPr>
          <w:sz w:val="22"/>
          <w:szCs w:val="22"/>
          <w:lang w:val="en-US"/>
        </w:rPr>
      </w:pPr>
      <w:r w:rsidRPr="00DF3609">
        <w:rPr>
          <w:sz w:val="22"/>
          <w:szCs w:val="22"/>
          <w:lang w:val="en-US"/>
        </w:rPr>
        <w:t>3001 HA Rotterdam</w:t>
      </w:r>
    </w:p>
    <w:p w:rsidR="00A53E33" w:rsidRPr="00DF3609" w:rsidRDefault="00A53E33" w:rsidP="00A53E33">
      <w:pPr>
        <w:spacing w:line="480" w:lineRule="auto"/>
        <w:outlineLvl w:val="0"/>
        <w:rPr>
          <w:sz w:val="22"/>
          <w:szCs w:val="22"/>
          <w:lang w:val="en-US"/>
        </w:rPr>
      </w:pPr>
      <w:r w:rsidRPr="00DF3609">
        <w:rPr>
          <w:sz w:val="22"/>
          <w:szCs w:val="22"/>
          <w:lang w:val="en-US"/>
        </w:rPr>
        <w:t>The Netherlands</w:t>
      </w:r>
    </w:p>
    <w:p w:rsidR="00A53E33" w:rsidRPr="00DF3609" w:rsidRDefault="00A53E33" w:rsidP="00A53E33">
      <w:pPr>
        <w:spacing w:line="480" w:lineRule="auto"/>
        <w:outlineLvl w:val="0"/>
        <w:rPr>
          <w:sz w:val="22"/>
          <w:szCs w:val="22"/>
          <w:lang w:val="en-US"/>
        </w:rPr>
      </w:pPr>
      <w:r w:rsidRPr="00DF3609">
        <w:rPr>
          <w:sz w:val="22"/>
          <w:szCs w:val="22"/>
          <w:lang w:val="en-US"/>
        </w:rPr>
        <w:t>T: +31 10794</w:t>
      </w:r>
      <w:r>
        <w:rPr>
          <w:sz w:val="22"/>
          <w:szCs w:val="22"/>
          <w:lang w:val="en-US"/>
        </w:rPr>
        <w:t>5516</w:t>
      </w:r>
    </w:p>
    <w:p w:rsidR="00A53E33" w:rsidRPr="00BC2B50" w:rsidRDefault="00A53E33" w:rsidP="00A53E33">
      <w:pPr>
        <w:spacing w:line="480" w:lineRule="auto"/>
        <w:outlineLvl w:val="0"/>
        <w:rPr>
          <w:sz w:val="22"/>
          <w:szCs w:val="22"/>
          <w:lang w:val="en-US"/>
        </w:rPr>
      </w:pPr>
      <w:r w:rsidRPr="00BC2B50">
        <w:rPr>
          <w:sz w:val="22"/>
          <w:szCs w:val="22"/>
          <w:lang w:val="en-US"/>
        </w:rPr>
        <w:t>E: m.i.bal@hr.nl</w:t>
      </w:r>
    </w:p>
    <w:p w:rsidR="00A53E33" w:rsidRPr="00BC2B50" w:rsidRDefault="00A53E33" w:rsidP="00A53E33">
      <w:pPr>
        <w:spacing w:line="480" w:lineRule="auto"/>
        <w:outlineLvl w:val="0"/>
        <w:rPr>
          <w:sz w:val="22"/>
          <w:szCs w:val="22"/>
          <w:lang w:val="en-US"/>
        </w:rPr>
      </w:pPr>
    </w:p>
    <w:p w:rsidR="00A53E33" w:rsidRPr="00BC2B50" w:rsidRDefault="00A53E33" w:rsidP="00A53E33">
      <w:pPr>
        <w:spacing w:line="480" w:lineRule="auto"/>
        <w:outlineLvl w:val="0"/>
        <w:rPr>
          <w:sz w:val="22"/>
          <w:szCs w:val="22"/>
          <w:lang w:val="en-US"/>
        </w:rPr>
      </w:pPr>
      <w:r w:rsidRPr="00BC2B50">
        <w:rPr>
          <w:sz w:val="22"/>
          <w:szCs w:val="22"/>
          <w:lang w:val="en-US"/>
        </w:rPr>
        <w:t>Word count manuscript: 3339</w:t>
      </w:r>
    </w:p>
    <w:p w:rsidR="00A53E33" w:rsidRPr="00BC2B50" w:rsidRDefault="00A53E33" w:rsidP="00A53E33">
      <w:pPr>
        <w:spacing w:line="480" w:lineRule="auto"/>
        <w:outlineLvl w:val="0"/>
        <w:rPr>
          <w:sz w:val="22"/>
          <w:szCs w:val="22"/>
          <w:lang w:val="en-US"/>
        </w:rPr>
      </w:pPr>
      <w:r w:rsidRPr="00BC2B50">
        <w:rPr>
          <w:sz w:val="22"/>
          <w:szCs w:val="22"/>
          <w:lang w:val="en-US"/>
        </w:rPr>
        <w:t>Word count abstract: 234</w:t>
      </w:r>
    </w:p>
    <w:p w:rsidR="00A53E33" w:rsidRPr="00BC2B50" w:rsidRDefault="00A53E33" w:rsidP="00A53E33">
      <w:pPr>
        <w:spacing w:line="480" w:lineRule="auto"/>
        <w:outlineLvl w:val="0"/>
        <w:rPr>
          <w:sz w:val="22"/>
          <w:szCs w:val="22"/>
          <w:lang w:val="en-US"/>
        </w:rPr>
      </w:pPr>
      <w:r w:rsidRPr="00BC2B50">
        <w:rPr>
          <w:sz w:val="22"/>
          <w:szCs w:val="22"/>
          <w:lang w:val="en-US"/>
        </w:rPr>
        <w:t>Number of Tables: 4</w:t>
      </w:r>
    </w:p>
    <w:p w:rsidR="00A53E33" w:rsidRPr="00BC2B50" w:rsidRDefault="00A53E33" w:rsidP="00A53E33">
      <w:pPr>
        <w:spacing w:line="480" w:lineRule="auto"/>
        <w:outlineLvl w:val="0"/>
        <w:rPr>
          <w:sz w:val="22"/>
          <w:szCs w:val="22"/>
          <w:lang w:val="en-US"/>
        </w:rPr>
      </w:pPr>
      <w:r w:rsidRPr="00BC2B50">
        <w:rPr>
          <w:sz w:val="22"/>
          <w:szCs w:val="22"/>
          <w:lang w:val="en-US"/>
        </w:rPr>
        <w:t>Number of Figures: 0</w:t>
      </w:r>
    </w:p>
    <w:p w:rsidR="00A53E33" w:rsidRDefault="00A53E33" w:rsidP="00A53E33">
      <w:pPr>
        <w:spacing w:line="480" w:lineRule="auto"/>
        <w:outlineLvl w:val="0"/>
        <w:rPr>
          <w:sz w:val="22"/>
          <w:szCs w:val="22"/>
          <w:lang w:val="en-US"/>
        </w:rPr>
      </w:pPr>
      <w:r w:rsidRPr="00BC2B50">
        <w:rPr>
          <w:sz w:val="22"/>
          <w:szCs w:val="22"/>
          <w:lang w:val="en-US"/>
        </w:rPr>
        <w:t>Number of references: 40</w:t>
      </w:r>
    </w:p>
    <w:p w:rsidR="00A53E33" w:rsidRPr="00A53E33" w:rsidRDefault="00A53E33" w:rsidP="004A5F5F">
      <w:pPr>
        <w:spacing w:line="480" w:lineRule="auto"/>
        <w:outlineLvl w:val="0"/>
        <w:rPr>
          <w:b/>
          <w:sz w:val="22"/>
          <w:szCs w:val="22"/>
          <w:u w:val="single"/>
          <w:lang w:val="en-US"/>
        </w:rPr>
      </w:pPr>
    </w:p>
    <w:p w:rsidR="00A53E33" w:rsidRDefault="00A53E33" w:rsidP="004A5F5F">
      <w:pPr>
        <w:spacing w:line="480" w:lineRule="auto"/>
        <w:outlineLvl w:val="0"/>
        <w:rPr>
          <w:b/>
          <w:sz w:val="22"/>
          <w:szCs w:val="22"/>
          <w:u w:val="single"/>
          <w:lang w:val="en-GB"/>
        </w:rPr>
      </w:pPr>
    </w:p>
    <w:p w:rsidR="00A53E33" w:rsidRDefault="00A53E33" w:rsidP="004A5F5F">
      <w:pPr>
        <w:spacing w:line="480" w:lineRule="auto"/>
        <w:outlineLvl w:val="0"/>
        <w:rPr>
          <w:b/>
          <w:sz w:val="22"/>
          <w:szCs w:val="22"/>
          <w:u w:val="single"/>
          <w:lang w:val="en-GB"/>
        </w:rPr>
      </w:pPr>
    </w:p>
    <w:p w:rsidR="00BB07F3" w:rsidRDefault="00BB07F3" w:rsidP="004A5F5F">
      <w:pPr>
        <w:spacing w:line="480" w:lineRule="auto"/>
        <w:outlineLvl w:val="0"/>
        <w:rPr>
          <w:b/>
          <w:sz w:val="22"/>
          <w:szCs w:val="22"/>
          <w:u w:val="single"/>
          <w:lang w:val="en-GB"/>
        </w:rPr>
      </w:pPr>
      <w:r w:rsidRPr="004A5F5F">
        <w:rPr>
          <w:b/>
          <w:sz w:val="22"/>
          <w:szCs w:val="22"/>
          <w:u w:val="single"/>
          <w:lang w:val="en-GB"/>
        </w:rPr>
        <w:lastRenderedPageBreak/>
        <w:t>Abstract</w:t>
      </w:r>
    </w:p>
    <w:p w:rsidR="000457A5" w:rsidRPr="004A5F5F" w:rsidRDefault="000457A5" w:rsidP="004A5F5F">
      <w:pPr>
        <w:spacing w:line="480" w:lineRule="auto"/>
        <w:outlineLvl w:val="0"/>
        <w:rPr>
          <w:b/>
          <w:sz w:val="22"/>
          <w:szCs w:val="22"/>
          <w:u w:val="single"/>
          <w:lang w:val="en-GB"/>
        </w:rPr>
      </w:pPr>
    </w:p>
    <w:p w:rsidR="000457A5" w:rsidRDefault="00F93889" w:rsidP="004A5F5F">
      <w:pPr>
        <w:spacing w:line="480" w:lineRule="auto"/>
        <w:outlineLvl w:val="0"/>
        <w:rPr>
          <w:b/>
          <w:sz w:val="22"/>
          <w:szCs w:val="22"/>
          <w:lang w:val="en-GB"/>
        </w:rPr>
      </w:pPr>
      <w:r w:rsidRPr="00871CE8">
        <w:rPr>
          <w:b/>
          <w:sz w:val="22"/>
          <w:szCs w:val="22"/>
          <w:lang w:val="en-GB"/>
        </w:rPr>
        <w:t>Objective</w:t>
      </w:r>
    </w:p>
    <w:p w:rsidR="000457A5" w:rsidRDefault="001D01E9" w:rsidP="004A5F5F">
      <w:pPr>
        <w:spacing w:line="480" w:lineRule="auto"/>
        <w:outlineLvl w:val="0"/>
        <w:rPr>
          <w:sz w:val="22"/>
          <w:szCs w:val="22"/>
          <w:lang w:val="en-GB"/>
        </w:rPr>
      </w:pPr>
      <w:r w:rsidRPr="00871CE8">
        <w:rPr>
          <w:sz w:val="22"/>
          <w:szCs w:val="22"/>
          <w:lang w:val="en-GB"/>
        </w:rPr>
        <w:t>T</w:t>
      </w:r>
      <w:r w:rsidR="00BB07F3" w:rsidRPr="00871CE8">
        <w:rPr>
          <w:sz w:val="22"/>
          <w:szCs w:val="22"/>
          <w:lang w:val="en-GB"/>
        </w:rPr>
        <w:t xml:space="preserve">o identify predictors during adolescence for </w:t>
      </w:r>
      <w:r w:rsidR="00BB07F3" w:rsidRPr="00174704">
        <w:rPr>
          <w:sz w:val="22"/>
          <w:szCs w:val="22"/>
          <w:lang w:val="en-GB"/>
        </w:rPr>
        <w:t>receiving disability benefits in young adulthood, and to compare benefit recipients’ and non-recipients’ social participation</w:t>
      </w:r>
      <w:r w:rsidR="00C37BBE" w:rsidRPr="00174704">
        <w:rPr>
          <w:sz w:val="22"/>
          <w:szCs w:val="22"/>
          <w:lang w:val="en-GB"/>
        </w:rPr>
        <w:t>,</w:t>
      </w:r>
      <w:r w:rsidR="00BB07F3" w:rsidRPr="00174704">
        <w:rPr>
          <w:sz w:val="22"/>
          <w:szCs w:val="22"/>
          <w:lang w:val="en-GB"/>
        </w:rPr>
        <w:t xml:space="preserve"> and psychosocial outcomes in young adulthood.</w:t>
      </w:r>
      <w:r w:rsidR="006C543A" w:rsidRPr="00174704">
        <w:rPr>
          <w:sz w:val="22"/>
          <w:szCs w:val="22"/>
          <w:lang w:val="en-GB"/>
        </w:rPr>
        <w:t xml:space="preserve"> By doing so</w:t>
      </w:r>
      <w:r w:rsidR="00603D30" w:rsidRPr="00174704">
        <w:rPr>
          <w:sz w:val="22"/>
          <w:szCs w:val="22"/>
          <w:lang w:val="en-GB"/>
        </w:rPr>
        <w:t>,</w:t>
      </w:r>
      <w:r w:rsidR="006C543A" w:rsidRPr="00174704">
        <w:rPr>
          <w:sz w:val="22"/>
          <w:szCs w:val="22"/>
          <w:lang w:val="en-GB"/>
        </w:rPr>
        <w:t xml:space="preserve"> insights for future policy </w:t>
      </w:r>
      <w:r w:rsidR="00D7555B" w:rsidRPr="00174704">
        <w:rPr>
          <w:sz w:val="22"/>
          <w:szCs w:val="22"/>
          <w:lang w:val="en-GB"/>
        </w:rPr>
        <w:t xml:space="preserve">and </w:t>
      </w:r>
      <w:r w:rsidR="00B766C6" w:rsidRPr="00174704">
        <w:rPr>
          <w:sz w:val="22"/>
          <w:szCs w:val="22"/>
          <w:lang w:val="en-GB"/>
        </w:rPr>
        <w:t xml:space="preserve">rehabilitation care </w:t>
      </w:r>
      <w:r w:rsidR="005F4EB6" w:rsidRPr="00174704">
        <w:rPr>
          <w:sz w:val="22"/>
          <w:szCs w:val="22"/>
          <w:lang w:val="en-GB"/>
        </w:rPr>
        <w:t>could be provided</w:t>
      </w:r>
      <w:r w:rsidR="006C543A" w:rsidRPr="00174704">
        <w:rPr>
          <w:sz w:val="22"/>
          <w:szCs w:val="22"/>
          <w:lang w:val="en-GB"/>
        </w:rPr>
        <w:t>.</w:t>
      </w:r>
    </w:p>
    <w:p w:rsidR="000457A5" w:rsidRDefault="000457A5" w:rsidP="004A5F5F">
      <w:pPr>
        <w:spacing w:line="480" w:lineRule="auto"/>
        <w:outlineLvl w:val="0"/>
        <w:rPr>
          <w:sz w:val="22"/>
          <w:szCs w:val="22"/>
          <w:lang w:val="en-GB"/>
        </w:rPr>
      </w:pPr>
    </w:p>
    <w:p w:rsidR="000457A5" w:rsidRPr="000457A5" w:rsidRDefault="00F93889" w:rsidP="004A5F5F">
      <w:pPr>
        <w:spacing w:line="480" w:lineRule="auto"/>
        <w:outlineLvl w:val="0"/>
        <w:rPr>
          <w:sz w:val="22"/>
          <w:szCs w:val="22"/>
          <w:lang w:val="en-GB"/>
        </w:rPr>
      </w:pPr>
      <w:r w:rsidRPr="00871CE8">
        <w:rPr>
          <w:b/>
          <w:sz w:val="22"/>
          <w:szCs w:val="22"/>
          <w:lang w:val="en-GB"/>
        </w:rPr>
        <w:t>Methods</w:t>
      </w:r>
    </w:p>
    <w:p w:rsidR="00BB07F3" w:rsidRPr="00871CE8" w:rsidRDefault="00EE1343" w:rsidP="004A5F5F">
      <w:pPr>
        <w:spacing w:line="480" w:lineRule="auto"/>
        <w:outlineLvl w:val="0"/>
        <w:rPr>
          <w:sz w:val="22"/>
          <w:szCs w:val="22"/>
          <w:lang w:val="en-GB"/>
        </w:rPr>
      </w:pPr>
      <w:r w:rsidRPr="00871CE8">
        <w:rPr>
          <w:sz w:val="22"/>
          <w:szCs w:val="22"/>
          <w:lang w:val="en-GB"/>
        </w:rPr>
        <w:t xml:space="preserve">Follow-up study of </w:t>
      </w:r>
      <w:r w:rsidR="00871CE8" w:rsidRPr="00871CE8">
        <w:rPr>
          <w:sz w:val="22"/>
          <w:szCs w:val="22"/>
          <w:lang w:val="en-GB"/>
        </w:rPr>
        <w:t xml:space="preserve">18 to 25 year olds </w:t>
      </w:r>
      <w:r w:rsidR="00BB07F3" w:rsidRPr="00871CE8">
        <w:rPr>
          <w:sz w:val="22"/>
          <w:szCs w:val="22"/>
          <w:lang w:val="en-GB"/>
        </w:rPr>
        <w:t xml:space="preserve">with various chronic conditions who at adolescent age completed a web-based survey (n=518). Outcome measure was receiving disability benefits (yes or no). Associations with </w:t>
      </w:r>
      <w:r w:rsidR="00091D30" w:rsidRPr="00015A75">
        <w:rPr>
          <w:sz w:val="22"/>
          <w:szCs w:val="22"/>
          <w:lang w:val="en-US"/>
        </w:rPr>
        <w:t>background characteristics</w:t>
      </w:r>
      <w:r w:rsidR="00A94322" w:rsidRPr="00871CE8">
        <w:rPr>
          <w:sz w:val="22"/>
          <w:szCs w:val="22"/>
          <w:lang w:val="en-GB"/>
        </w:rPr>
        <w:t>,</w:t>
      </w:r>
      <w:r w:rsidR="00BB07F3" w:rsidRPr="00871CE8">
        <w:rPr>
          <w:sz w:val="22"/>
          <w:szCs w:val="22"/>
          <w:lang w:val="en-GB"/>
        </w:rPr>
        <w:t xml:space="preserve"> social participation, and impact of the chronic condition were explored with stepwise multivariate modelling, using T0-variables. Differences between recipients and non-recipients were explored using </w:t>
      </w:r>
      <w:r w:rsidR="003D3CEF">
        <w:rPr>
          <w:sz w:val="22"/>
          <w:szCs w:val="22"/>
          <w:lang w:val="en-GB"/>
        </w:rPr>
        <w:t>C</w:t>
      </w:r>
      <w:r w:rsidR="00BB07F3" w:rsidRPr="00871CE8">
        <w:rPr>
          <w:sz w:val="22"/>
          <w:szCs w:val="22"/>
          <w:lang w:val="en-GB"/>
        </w:rPr>
        <w:t>hi-Square tests and t-tests.</w:t>
      </w:r>
    </w:p>
    <w:p w:rsidR="004F3D1B" w:rsidRDefault="004F3D1B"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r>
        <w:rPr>
          <w:b/>
          <w:sz w:val="22"/>
          <w:szCs w:val="22"/>
          <w:lang w:val="en-GB"/>
        </w:rPr>
        <w:t>Results</w:t>
      </w:r>
    </w:p>
    <w:p w:rsidR="00BB07F3" w:rsidRPr="000457A5" w:rsidRDefault="00BB07F3" w:rsidP="004A5F5F">
      <w:pPr>
        <w:spacing w:line="480" w:lineRule="auto"/>
        <w:outlineLvl w:val="0"/>
        <w:rPr>
          <w:b/>
          <w:sz w:val="22"/>
          <w:szCs w:val="22"/>
          <w:lang w:val="en-GB"/>
        </w:rPr>
      </w:pPr>
      <w:r w:rsidRPr="00871CE8">
        <w:rPr>
          <w:sz w:val="22"/>
          <w:szCs w:val="22"/>
          <w:lang w:val="en-GB"/>
        </w:rPr>
        <w:t>Greater extent of physical disability, receiving special edu</w:t>
      </w:r>
      <w:r w:rsidR="00A94322" w:rsidRPr="00871CE8">
        <w:rPr>
          <w:sz w:val="22"/>
          <w:szCs w:val="22"/>
          <w:lang w:val="en-GB"/>
        </w:rPr>
        <w:t>cation, absenteeism at school/</w:t>
      </w:r>
      <w:r w:rsidR="00EE1343" w:rsidRPr="00871CE8">
        <w:rPr>
          <w:sz w:val="22"/>
          <w:szCs w:val="22"/>
          <w:lang w:val="en-GB"/>
        </w:rPr>
        <w:t xml:space="preserve">work, and </w:t>
      </w:r>
      <w:r w:rsidRPr="00871CE8">
        <w:rPr>
          <w:sz w:val="22"/>
          <w:szCs w:val="22"/>
          <w:lang w:val="en-GB"/>
        </w:rPr>
        <w:t>lower health-related quality of life during adolescence were associated with receiving disability benefits in young adulthood. In young adulthood, benefit recipients reported higher perceived impact of the chronic condition on their school/work career and lower quality of life compared to non-recipients. Social participation varied across domains.</w:t>
      </w:r>
    </w:p>
    <w:p w:rsidR="000457A5" w:rsidRPr="004F3D1B" w:rsidRDefault="000457A5" w:rsidP="004A5F5F">
      <w:pPr>
        <w:spacing w:line="480" w:lineRule="auto"/>
        <w:outlineLvl w:val="0"/>
        <w:rPr>
          <w:b/>
          <w:sz w:val="22"/>
          <w:szCs w:val="22"/>
          <w:lang w:val="en-GB"/>
        </w:rPr>
      </w:pPr>
    </w:p>
    <w:p w:rsidR="004F3D1B" w:rsidRPr="004F3D1B" w:rsidRDefault="000457A5" w:rsidP="004A5F5F">
      <w:pPr>
        <w:spacing w:line="480" w:lineRule="auto"/>
        <w:outlineLvl w:val="0"/>
        <w:rPr>
          <w:b/>
          <w:sz w:val="22"/>
          <w:szCs w:val="22"/>
          <w:lang w:val="en-GB"/>
        </w:rPr>
      </w:pPr>
      <w:r w:rsidRPr="004F3D1B">
        <w:rPr>
          <w:b/>
          <w:sz w:val="22"/>
          <w:szCs w:val="22"/>
          <w:lang w:val="en-GB"/>
        </w:rPr>
        <w:t>Conclusion</w:t>
      </w:r>
    </w:p>
    <w:p w:rsidR="001D01E9" w:rsidRPr="00871CE8" w:rsidRDefault="00EC0E63" w:rsidP="004A5F5F">
      <w:pPr>
        <w:spacing w:line="480" w:lineRule="auto"/>
        <w:outlineLvl w:val="0"/>
        <w:rPr>
          <w:sz w:val="22"/>
          <w:szCs w:val="22"/>
          <w:lang w:val="en-GB"/>
        </w:rPr>
      </w:pPr>
      <w:r w:rsidRPr="00871CE8">
        <w:rPr>
          <w:sz w:val="22"/>
          <w:szCs w:val="22"/>
          <w:lang w:val="en-GB"/>
        </w:rPr>
        <w:t xml:space="preserve">This study provides important insights into the characteristics of a vulnerable </w:t>
      </w:r>
      <w:r w:rsidR="00A63832" w:rsidRPr="00871CE8">
        <w:rPr>
          <w:sz w:val="22"/>
          <w:szCs w:val="22"/>
          <w:lang w:val="en-GB"/>
        </w:rPr>
        <w:t>sub</w:t>
      </w:r>
      <w:r w:rsidRPr="00871CE8">
        <w:rPr>
          <w:sz w:val="22"/>
          <w:szCs w:val="22"/>
          <w:lang w:val="en-GB"/>
        </w:rPr>
        <w:t>group of young people with chronic physical conditions.</w:t>
      </w:r>
      <w:r w:rsidR="00BB07F3" w:rsidRPr="00871CE8">
        <w:rPr>
          <w:sz w:val="22"/>
          <w:szCs w:val="22"/>
          <w:lang w:val="en-GB"/>
        </w:rPr>
        <w:t xml:space="preserve"> </w:t>
      </w:r>
      <w:r w:rsidR="00871CE8" w:rsidRPr="00871CE8">
        <w:rPr>
          <w:sz w:val="22"/>
          <w:szCs w:val="22"/>
          <w:lang w:val="en-GB"/>
        </w:rPr>
        <w:t xml:space="preserve">Disability benefit recipients experienced more impact of their chronic condition and reported a lower health-related quality of life over time. </w:t>
      </w:r>
      <w:r w:rsidR="002F6E53">
        <w:rPr>
          <w:sz w:val="22"/>
          <w:szCs w:val="22"/>
          <w:lang w:val="en-GB"/>
        </w:rPr>
        <w:t xml:space="preserve">Rehabilitation professionals </w:t>
      </w:r>
      <w:r w:rsidR="00EE1343" w:rsidRPr="00871CE8">
        <w:rPr>
          <w:sz w:val="22"/>
          <w:szCs w:val="22"/>
          <w:lang w:val="en-GB"/>
        </w:rPr>
        <w:t xml:space="preserve">are encouraged to use patient-reported outcomes to address </w:t>
      </w:r>
      <w:r w:rsidR="00180FAB">
        <w:rPr>
          <w:sz w:val="22"/>
          <w:szCs w:val="22"/>
          <w:lang w:val="en-GB"/>
        </w:rPr>
        <w:t>the</w:t>
      </w:r>
      <w:r w:rsidR="00EE1343" w:rsidRPr="00871CE8">
        <w:rPr>
          <w:sz w:val="22"/>
          <w:szCs w:val="22"/>
          <w:lang w:val="en-GB"/>
        </w:rPr>
        <w:t xml:space="preserve"> lived experiences and screen the need for psychosocial support</w:t>
      </w:r>
      <w:r w:rsidR="002162B9">
        <w:rPr>
          <w:sz w:val="22"/>
          <w:szCs w:val="22"/>
          <w:lang w:val="en-GB"/>
        </w:rPr>
        <w:t xml:space="preserve"> of this vul</w:t>
      </w:r>
      <w:r w:rsidR="002162B9" w:rsidRPr="00871CE8">
        <w:rPr>
          <w:sz w:val="22"/>
          <w:szCs w:val="22"/>
          <w:lang w:val="en-GB"/>
        </w:rPr>
        <w:t>nerable subgroup of young people with chronic physical condition</w:t>
      </w:r>
      <w:r w:rsidR="002162B9">
        <w:rPr>
          <w:sz w:val="22"/>
          <w:szCs w:val="22"/>
          <w:lang w:val="en-GB"/>
        </w:rPr>
        <w:t>s.</w:t>
      </w:r>
    </w:p>
    <w:p w:rsidR="00692032" w:rsidRPr="00CB5208" w:rsidRDefault="00091D30" w:rsidP="004A5F5F">
      <w:pPr>
        <w:spacing w:line="480" w:lineRule="auto"/>
        <w:outlineLvl w:val="0"/>
        <w:rPr>
          <w:b/>
          <w:sz w:val="22"/>
          <w:szCs w:val="22"/>
          <w:u w:val="single"/>
        </w:rPr>
      </w:pPr>
      <w:r w:rsidRPr="00CB5208">
        <w:rPr>
          <w:b/>
          <w:sz w:val="22"/>
          <w:szCs w:val="22"/>
          <w:u w:val="single"/>
        </w:rPr>
        <w:lastRenderedPageBreak/>
        <w:t>Key words</w:t>
      </w:r>
    </w:p>
    <w:p w:rsidR="00BB07F3" w:rsidRPr="00CB5208" w:rsidRDefault="00091D30" w:rsidP="004A5F5F">
      <w:pPr>
        <w:spacing w:line="480" w:lineRule="auto"/>
        <w:outlineLvl w:val="0"/>
        <w:rPr>
          <w:sz w:val="22"/>
          <w:szCs w:val="22"/>
        </w:rPr>
      </w:pPr>
      <w:r w:rsidRPr="00CB5208">
        <w:rPr>
          <w:sz w:val="22"/>
          <w:szCs w:val="22"/>
        </w:rPr>
        <w:t xml:space="preserve">Chronic conditions; Physical disabilities; Adolescent; Psychosocial development; Social Participation; Quality of life; </w:t>
      </w:r>
    </w:p>
    <w:p w:rsidR="00BB07F3" w:rsidRPr="00CB5208" w:rsidRDefault="00BB07F3" w:rsidP="004A5F5F">
      <w:pPr>
        <w:spacing w:line="480" w:lineRule="auto"/>
        <w:outlineLvl w:val="0"/>
        <w:rPr>
          <w:sz w:val="22"/>
          <w:szCs w:val="22"/>
        </w:rPr>
      </w:pPr>
    </w:p>
    <w:p w:rsidR="0037731F" w:rsidRPr="004A5F5F" w:rsidRDefault="0037731F" w:rsidP="004A5F5F">
      <w:pPr>
        <w:spacing w:line="480" w:lineRule="auto"/>
        <w:outlineLvl w:val="0"/>
        <w:rPr>
          <w:b/>
          <w:sz w:val="22"/>
          <w:szCs w:val="22"/>
          <w:lang w:val="en-GB"/>
        </w:rPr>
      </w:pPr>
    </w:p>
    <w:p w:rsidR="00BB07F3" w:rsidRDefault="00BB07F3"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0457A5" w:rsidRDefault="000457A5" w:rsidP="004A5F5F">
      <w:pPr>
        <w:spacing w:line="480" w:lineRule="auto"/>
        <w:outlineLvl w:val="0"/>
        <w:rPr>
          <w:b/>
          <w:sz w:val="22"/>
          <w:szCs w:val="22"/>
          <w:lang w:val="en-GB"/>
        </w:rPr>
      </w:pPr>
    </w:p>
    <w:p w:rsidR="00BB07F3" w:rsidRPr="004A5F5F" w:rsidRDefault="00BB07F3" w:rsidP="004A5F5F">
      <w:pPr>
        <w:spacing w:line="480" w:lineRule="auto"/>
        <w:outlineLvl w:val="0"/>
        <w:rPr>
          <w:b/>
          <w:sz w:val="22"/>
          <w:szCs w:val="22"/>
          <w:lang w:val="en-GB"/>
        </w:rPr>
      </w:pPr>
    </w:p>
    <w:p w:rsidR="00015A75" w:rsidRDefault="00015A75" w:rsidP="004A5F5F">
      <w:pPr>
        <w:spacing w:line="480" w:lineRule="auto"/>
        <w:outlineLvl w:val="0"/>
        <w:rPr>
          <w:b/>
          <w:sz w:val="22"/>
          <w:szCs w:val="22"/>
          <w:u w:val="single"/>
          <w:lang w:val="en-US"/>
        </w:rPr>
      </w:pPr>
    </w:p>
    <w:p w:rsidR="00BB07F3" w:rsidRPr="000B0EA3" w:rsidRDefault="00BB07F3" w:rsidP="004A5F5F">
      <w:pPr>
        <w:spacing w:line="480" w:lineRule="auto"/>
        <w:outlineLvl w:val="0"/>
        <w:rPr>
          <w:color w:val="333333"/>
          <w:sz w:val="22"/>
          <w:szCs w:val="22"/>
          <w:lang w:val="en-US"/>
        </w:rPr>
      </w:pPr>
      <w:r w:rsidRPr="000B0EA3">
        <w:rPr>
          <w:b/>
          <w:sz w:val="22"/>
          <w:szCs w:val="22"/>
          <w:u w:val="single"/>
          <w:lang w:val="en-US"/>
        </w:rPr>
        <w:lastRenderedPageBreak/>
        <w:t>Introduction</w:t>
      </w:r>
    </w:p>
    <w:p w:rsidR="00BB07F3" w:rsidRPr="004A5F5F" w:rsidRDefault="00BB07F3" w:rsidP="004A5F5F">
      <w:pPr>
        <w:spacing w:line="480" w:lineRule="auto"/>
        <w:outlineLvl w:val="0"/>
        <w:rPr>
          <w:sz w:val="22"/>
          <w:szCs w:val="22"/>
          <w:lang w:val="en-GB"/>
        </w:rPr>
      </w:pPr>
      <w:r w:rsidRPr="004A5F5F">
        <w:rPr>
          <w:sz w:val="22"/>
          <w:szCs w:val="22"/>
          <w:lang w:val="en-GB"/>
        </w:rPr>
        <w:t xml:space="preserve">Employment fosters </w:t>
      </w:r>
      <w:r w:rsidRPr="004A5F5F">
        <w:rPr>
          <w:sz w:val="22"/>
          <w:szCs w:val="22"/>
          <w:lang w:val="en-US"/>
        </w:rPr>
        <w:t xml:space="preserve">the acquirement of </w:t>
      </w:r>
      <w:r w:rsidRPr="004A5F5F">
        <w:rPr>
          <w:sz w:val="22"/>
          <w:szCs w:val="22"/>
          <w:lang w:val="en-GB"/>
        </w:rPr>
        <w:t xml:space="preserve">life skills and autonomy needed to participate in society </w:t>
      </w:r>
      <w:r w:rsidR="00AF4BF2">
        <w:rPr>
          <w:noProof/>
          <w:sz w:val="22"/>
          <w:szCs w:val="22"/>
          <w:lang w:val="en-GB"/>
        </w:rPr>
        <w:t>[</w:t>
      </w:r>
      <w:r w:rsidRPr="004A5F5F">
        <w:rPr>
          <w:noProof/>
          <w:sz w:val="22"/>
          <w:szCs w:val="22"/>
          <w:lang w:val="en-GB"/>
        </w:rPr>
        <w:t>1</w:t>
      </w:r>
      <w:r w:rsidR="00AF4BF2">
        <w:rPr>
          <w:noProof/>
          <w:sz w:val="22"/>
          <w:szCs w:val="22"/>
          <w:lang w:val="en-GB"/>
        </w:rPr>
        <w:t>]</w:t>
      </w:r>
      <w:r w:rsidRPr="004A5F5F">
        <w:rPr>
          <w:sz w:val="22"/>
          <w:szCs w:val="22"/>
          <w:lang w:val="en-GB"/>
        </w:rPr>
        <w:t xml:space="preserve">. It increases people’s sense of control over their own lives, helps to develop their self-identity, and positively influences income levels and occupational achievements during the lifespan </w:t>
      </w:r>
      <w:r w:rsidR="0021765C">
        <w:rPr>
          <w:noProof/>
          <w:sz w:val="22"/>
          <w:szCs w:val="22"/>
          <w:lang w:val="en-GB"/>
        </w:rPr>
        <w:t>[</w:t>
      </w:r>
      <w:r w:rsidRPr="004A5F5F">
        <w:rPr>
          <w:noProof/>
          <w:sz w:val="22"/>
          <w:szCs w:val="22"/>
          <w:lang w:val="en-GB"/>
        </w:rPr>
        <w:t>1, 2</w:t>
      </w:r>
      <w:r w:rsidR="00AF4BF2">
        <w:rPr>
          <w:noProof/>
          <w:sz w:val="22"/>
          <w:szCs w:val="22"/>
          <w:lang w:val="en-GB"/>
        </w:rPr>
        <w:t>]</w:t>
      </w:r>
      <w:r w:rsidRPr="004A5F5F">
        <w:rPr>
          <w:sz w:val="22"/>
          <w:szCs w:val="22"/>
          <w:lang w:val="en-GB"/>
        </w:rPr>
        <w:t xml:space="preserve">. Starting a work career is, therefore, an important developmental milestone for young adults. Finding and maintaining employment, however, is a major challenge for young adults with chronic physical conditions </w:t>
      </w:r>
      <w:r w:rsidR="0021765C">
        <w:rPr>
          <w:noProof/>
          <w:sz w:val="22"/>
          <w:szCs w:val="22"/>
          <w:lang w:val="en-GB"/>
        </w:rPr>
        <w:t>[</w:t>
      </w:r>
      <w:r w:rsidRPr="004A5F5F">
        <w:rPr>
          <w:noProof/>
          <w:sz w:val="22"/>
          <w:szCs w:val="22"/>
          <w:lang w:val="en-GB"/>
        </w:rPr>
        <w:t>3, 4</w:t>
      </w:r>
      <w:r w:rsidR="00AF4BF2">
        <w:rPr>
          <w:noProof/>
          <w:sz w:val="22"/>
          <w:szCs w:val="22"/>
          <w:lang w:val="en-GB"/>
        </w:rPr>
        <w:t>]</w:t>
      </w:r>
      <w:r w:rsidR="00316D9B">
        <w:rPr>
          <w:noProof/>
          <w:sz w:val="22"/>
          <w:szCs w:val="22"/>
          <w:lang w:val="en-GB"/>
        </w:rPr>
        <w:t>. Compared</w:t>
      </w:r>
      <w:r w:rsidRPr="004A5F5F">
        <w:rPr>
          <w:sz w:val="22"/>
          <w:szCs w:val="22"/>
          <w:lang w:val="en-GB"/>
        </w:rPr>
        <w:t xml:space="preserve"> to healthy peers, their work participation rate is lower </w:t>
      </w:r>
      <w:r w:rsidR="0021765C">
        <w:rPr>
          <w:noProof/>
          <w:sz w:val="22"/>
          <w:szCs w:val="22"/>
          <w:lang w:val="en-GB"/>
        </w:rPr>
        <w:t>[</w:t>
      </w:r>
      <w:r w:rsidRPr="004A5F5F">
        <w:rPr>
          <w:noProof/>
          <w:sz w:val="22"/>
          <w:szCs w:val="22"/>
          <w:lang w:val="en-GB"/>
        </w:rPr>
        <w:t>4-6</w:t>
      </w:r>
      <w:r w:rsidR="00AF4BF2">
        <w:rPr>
          <w:noProof/>
          <w:sz w:val="22"/>
          <w:szCs w:val="22"/>
          <w:lang w:val="en-GB"/>
        </w:rPr>
        <w:t>]</w:t>
      </w:r>
      <w:r w:rsidRPr="004A5F5F">
        <w:rPr>
          <w:sz w:val="22"/>
          <w:szCs w:val="22"/>
          <w:lang w:val="en-GB"/>
        </w:rPr>
        <w:t xml:space="preserve">. </w:t>
      </w:r>
      <w:r w:rsidR="005F4EB6">
        <w:rPr>
          <w:sz w:val="22"/>
          <w:szCs w:val="22"/>
          <w:lang w:val="en-GB"/>
        </w:rPr>
        <w:t>While r</w:t>
      </w:r>
      <w:r w:rsidRPr="004A5F5F">
        <w:rPr>
          <w:sz w:val="22"/>
          <w:szCs w:val="22"/>
          <w:lang w:val="en-GB"/>
        </w:rPr>
        <w:t xml:space="preserve">eported employment rates vary, rates of about 30% are common both in Europe and the USA </w:t>
      </w:r>
      <w:r w:rsidR="0021765C">
        <w:rPr>
          <w:noProof/>
          <w:sz w:val="22"/>
          <w:szCs w:val="22"/>
          <w:lang w:val="en-GB"/>
        </w:rPr>
        <w:t>[</w:t>
      </w:r>
      <w:r w:rsidRPr="004A5F5F">
        <w:rPr>
          <w:noProof/>
          <w:sz w:val="22"/>
          <w:szCs w:val="22"/>
          <w:lang w:val="en-GB"/>
        </w:rPr>
        <w:t>7, 8</w:t>
      </w:r>
      <w:r w:rsidR="00AF4BF2">
        <w:rPr>
          <w:noProof/>
          <w:sz w:val="22"/>
          <w:szCs w:val="22"/>
          <w:lang w:val="en-GB"/>
        </w:rPr>
        <w:t>]</w:t>
      </w:r>
      <w:r w:rsidRPr="004A5F5F">
        <w:rPr>
          <w:sz w:val="22"/>
          <w:szCs w:val="22"/>
          <w:lang w:val="en-GB"/>
        </w:rPr>
        <w:t xml:space="preserve">. In the Netherlands, 39-45% of the young adults with chronic physical conditions are employed </w:t>
      </w:r>
      <w:r w:rsidR="0021765C">
        <w:rPr>
          <w:noProof/>
          <w:sz w:val="22"/>
          <w:szCs w:val="22"/>
          <w:lang w:val="en-GB"/>
        </w:rPr>
        <w:t>[</w:t>
      </w:r>
      <w:r w:rsidRPr="004A5F5F">
        <w:rPr>
          <w:noProof/>
          <w:sz w:val="22"/>
          <w:szCs w:val="22"/>
          <w:lang w:val="en-GB"/>
        </w:rPr>
        <w:t>8, 9</w:t>
      </w:r>
      <w:r w:rsidR="00AF4BF2">
        <w:rPr>
          <w:noProof/>
          <w:sz w:val="22"/>
          <w:szCs w:val="22"/>
          <w:lang w:val="en-GB"/>
        </w:rPr>
        <w:t>]</w:t>
      </w:r>
      <w:r w:rsidRPr="004A5F5F">
        <w:rPr>
          <w:sz w:val="22"/>
          <w:szCs w:val="22"/>
          <w:lang w:val="en-GB"/>
        </w:rPr>
        <w:t xml:space="preserve"> compared to 64-72% of their healthy peers </w:t>
      </w:r>
      <w:r w:rsidR="0021765C">
        <w:rPr>
          <w:noProof/>
          <w:sz w:val="22"/>
          <w:szCs w:val="22"/>
          <w:lang w:val="en-GB"/>
        </w:rPr>
        <w:t>[</w:t>
      </w:r>
      <w:r w:rsidRPr="004A5F5F">
        <w:rPr>
          <w:noProof/>
          <w:sz w:val="22"/>
          <w:szCs w:val="22"/>
          <w:lang w:val="en-GB"/>
        </w:rPr>
        <w:t>7, 9</w:t>
      </w:r>
      <w:r w:rsidR="00AF4BF2">
        <w:rPr>
          <w:noProof/>
          <w:sz w:val="22"/>
          <w:szCs w:val="22"/>
          <w:lang w:val="en-GB"/>
        </w:rPr>
        <w:t>]</w:t>
      </w:r>
      <w:r w:rsidRPr="004A5F5F">
        <w:rPr>
          <w:sz w:val="22"/>
          <w:szCs w:val="22"/>
          <w:lang w:val="en-GB"/>
        </w:rPr>
        <w:t xml:space="preserve">. Reported barriers for employment include limited accessibility of work places, discrimination, inadequate possibilities of transportation, and lack of social support </w:t>
      </w:r>
      <w:r w:rsidR="0021765C">
        <w:rPr>
          <w:noProof/>
          <w:sz w:val="22"/>
          <w:szCs w:val="22"/>
          <w:lang w:val="en-GB"/>
        </w:rPr>
        <w:t>[</w:t>
      </w:r>
      <w:r w:rsidRPr="004A5F5F">
        <w:rPr>
          <w:noProof/>
          <w:sz w:val="22"/>
          <w:szCs w:val="22"/>
          <w:lang w:val="en-GB"/>
        </w:rPr>
        <w:t>3, 4, 10</w:t>
      </w:r>
      <w:r w:rsidR="00AC0412" w:rsidRPr="004A5F5F">
        <w:rPr>
          <w:noProof/>
          <w:sz w:val="22"/>
          <w:szCs w:val="22"/>
          <w:lang w:val="en-GB"/>
        </w:rPr>
        <w:t>, 11</w:t>
      </w:r>
      <w:r w:rsidR="00AF4BF2">
        <w:rPr>
          <w:noProof/>
          <w:sz w:val="22"/>
          <w:szCs w:val="22"/>
          <w:lang w:val="en-GB"/>
        </w:rPr>
        <w:t>]</w:t>
      </w:r>
      <w:r w:rsidRPr="004A5F5F">
        <w:rPr>
          <w:sz w:val="22"/>
          <w:szCs w:val="22"/>
          <w:lang w:val="en-GB"/>
        </w:rPr>
        <w:t xml:space="preserve">. </w:t>
      </w:r>
      <w:r w:rsidR="00E23648">
        <w:rPr>
          <w:sz w:val="22"/>
          <w:szCs w:val="22"/>
          <w:lang w:val="en-GB"/>
        </w:rPr>
        <w:t>Unemployment</w:t>
      </w:r>
      <w:r w:rsidRPr="004A5F5F">
        <w:rPr>
          <w:sz w:val="22"/>
          <w:szCs w:val="22"/>
          <w:lang w:val="en-GB"/>
        </w:rPr>
        <w:t xml:space="preserve">, in turn, negatively influences their </w:t>
      </w:r>
      <w:r w:rsidRPr="004A5F5F">
        <w:rPr>
          <w:sz w:val="22"/>
          <w:szCs w:val="22"/>
          <w:lang w:val="en-US"/>
        </w:rPr>
        <w:t>financial situation, psychological</w:t>
      </w:r>
      <w:r w:rsidRPr="004A5F5F">
        <w:rPr>
          <w:sz w:val="22"/>
          <w:szCs w:val="22"/>
          <w:lang w:val="en-GB"/>
        </w:rPr>
        <w:t xml:space="preserve"> well-being, social interactions, and quality of life </w:t>
      </w:r>
      <w:r w:rsidR="0021765C">
        <w:rPr>
          <w:noProof/>
          <w:sz w:val="22"/>
          <w:szCs w:val="22"/>
          <w:lang w:val="en-GB"/>
        </w:rPr>
        <w:t>[</w:t>
      </w:r>
      <w:r w:rsidRPr="004A5F5F">
        <w:rPr>
          <w:noProof/>
          <w:sz w:val="22"/>
          <w:szCs w:val="22"/>
          <w:lang w:val="en-GB"/>
        </w:rPr>
        <w:t>3, 4</w:t>
      </w:r>
      <w:r w:rsidR="00AF4BF2">
        <w:rPr>
          <w:noProof/>
          <w:sz w:val="22"/>
          <w:szCs w:val="22"/>
          <w:lang w:val="en-GB"/>
        </w:rPr>
        <w:t>]</w:t>
      </w:r>
      <w:r w:rsidRPr="004A5F5F">
        <w:rPr>
          <w:sz w:val="22"/>
          <w:szCs w:val="22"/>
          <w:lang w:val="en-GB"/>
        </w:rPr>
        <w:t>.</w:t>
      </w:r>
      <w:r w:rsidRPr="004A5F5F">
        <w:rPr>
          <w:b/>
          <w:sz w:val="22"/>
          <w:szCs w:val="22"/>
          <w:lang w:val="en-GB"/>
        </w:rPr>
        <w:t xml:space="preserve"> </w:t>
      </w:r>
    </w:p>
    <w:p w:rsidR="0080585F" w:rsidRPr="005F09EE" w:rsidRDefault="0009407A" w:rsidP="00E17332">
      <w:pPr>
        <w:spacing w:line="480" w:lineRule="auto"/>
        <w:ind w:firstLine="708"/>
        <w:outlineLvl w:val="0"/>
        <w:rPr>
          <w:sz w:val="22"/>
          <w:szCs w:val="22"/>
          <w:lang w:val="en-GB"/>
        </w:rPr>
      </w:pPr>
      <w:r>
        <w:rPr>
          <w:sz w:val="22"/>
          <w:szCs w:val="22"/>
          <w:lang w:val="en-GB"/>
        </w:rPr>
        <w:t>Rehabilitation h</w:t>
      </w:r>
      <w:r w:rsidR="00BB07F3" w:rsidRPr="004A5F5F">
        <w:rPr>
          <w:sz w:val="22"/>
          <w:szCs w:val="22"/>
          <w:lang w:val="en-GB"/>
        </w:rPr>
        <w:t xml:space="preserve">ealthcare teams have taken steps to foster work participation of young adults with chronic </w:t>
      </w:r>
      <w:r w:rsidR="00670550" w:rsidRPr="004A5F5F">
        <w:rPr>
          <w:sz w:val="22"/>
          <w:szCs w:val="22"/>
          <w:lang w:val="en-GB"/>
        </w:rPr>
        <w:t xml:space="preserve">physical </w:t>
      </w:r>
      <w:r w:rsidR="00BB07F3" w:rsidRPr="004A5F5F">
        <w:rPr>
          <w:sz w:val="22"/>
          <w:szCs w:val="22"/>
          <w:lang w:val="en-GB"/>
        </w:rPr>
        <w:t xml:space="preserve">conditions </w:t>
      </w:r>
      <w:r w:rsidR="0021765C">
        <w:rPr>
          <w:noProof/>
          <w:sz w:val="22"/>
          <w:szCs w:val="22"/>
          <w:lang w:val="en-GB"/>
        </w:rPr>
        <w:t>[</w:t>
      </w:r>
      <w:r w:rsidR="00BB07F3" w:rsidRPr="004A5F5F">
        <w:rPr>
          <w:noProof/>
          <w:sz w:val="22"/>
          <w:szCs w:val="22"/>
          <w:lang w:val="en-GB"/>
        </w:rPr>
        <w:t>1</w:t>
      </w:r>
      <w:r w:rsidR="00AC0412" w:rsidRPr="004A5F5F">
        <w:rPr>
          <w:noProof/>
          <w:sz w:val="22"/>
          <w:szCs w:val="22"/>
          <w:lang w:val="en-GB"/>
        </w:rPr>
        <w:t>2</w:t>
      </w:r>
      <w:r w:rsidR="00BB07F3" w:rsidRPr="004A5F5F">
        <w:rPr>
          <w:noProof/>
          <w:sz w:val="22"/>
          <w:szCs w:val="22"/>
          <w:lang w:val="en-GB"/>
        </w:rPr>
        <w:t>, 1</w:t>
      </w:r>
      <w:r w:rsidR="00AC0412" w:rsidRPr="004A5F5F">
        <w:rPr>
          <w:noProof/>
          <w:sz w:val="22"/>
          <w:szCs w:val="22"/>
          <w:lang w:val="en-GB"/>
        </w:rPr>
        <w:t>3,</w:t>
      </w:r>
      <w:r w:rsidR="00481C3F" w:rsidRPr="004A5F5F">
        <w:rPr>
          <w:noProof/>
          <w:sz w:val="22"/>
          <w:szCs w:val="22"/>
          <w:lang w:val="en-GB"/>
        </w:rPr>
        <w:t xml:space="preserve"> 1</w:t>
      </w:r>
      <w:r w:rsidR="00AC0412" w:rsidRPr="004A5F5F">
        <w:rPr>
          <w:noProof/>
          <w:sz w:val="22"/>
          <w:szCs w:val="22"/>
          <w:lang w:val="en-GB"/>
        </w:rPr>
        <w:t>4</w:t>
      </w:r>
      <w:r w:rsidR="00AF4BF2">
        <w:rPr>
          <w:noProof/>
          <w:sz w:val="22"/>
          <w:szCs w:val="22"/>
          <w:lang w:val="en-GB"/>
        </w:rPr>
        <w:t>]</w:t>
      </w:r>
      <w:r w:rsidR="00BB07F3" w:rsidRPr="004A5F5F">
        <w:rPr>
          <w:sz w:val="22"/>
          <w:szCs w:val="22"/>
          <w:lang w:val="en-GB"/>
        </w:rPr>
        <w:t xml:space="preserve">. Also on macro-level, policies aimed at improving their work participation and quality of life have been implemented. In the Netherlands, young adults who are partially or fully incapable of working due to a childhood onset of chronic </w:t>
      </w:r>
      <w:r w:rsidR="00EC2B32" w:rsidRPr="004A5F5F">
        <w:rPr>
          <w:sz w:val="22"/>
          <w:szCs w:val="22"/>
          <w:lang w:val="en-GB"/>
        </w:rPr>
        <w:t>condition</w:t>
      </w:r>
      <w:r w:rsidR="00BB07F3" w:rsidRPr="004A5F5F">
        <w:rPr>
          <w:sz w:val="22"/>
          <w:szCs w:val="22"/>
          <w:lang w:val="en-GB"/>
        </w:rPr>
        <w:t xml:space="preserve"> may be entitled to a benefit under the scheme for young disabled persons: Wajong </w:t>
      </w:r>
      <w:r w:rsidR="000E0391" w:rsidRPr="004A5F5F">
        <w:rPr>
          <w:sz w:val="22"/>
          <w:szCs w:val="22"/>
          <w:lang w:val="en-GB"/>
        </w:rPr>
        <w:t>(</w:t>
      </w:r>
      <w:r w:rsidR="00BB07F3" w:rsidRPr="004A5F5F">
        <w:rPr>
          <w:sz w:val="22"/>
          <w:szCs w:val="22"/>
          <w:lang w:val="en-GB"/>
        </w:rPr>
        <w:t xml:space="preserve">the Disablement Assistance Act </w:t>
      </w:r>
      <w:r w:rsidR="00BB07F3" w:rsidRPr="005F09EE">
        <w:rPr>
          <w:sz w:val="22"/>
          <w:szCs w:val="22"/>
          <w:lang w:val="en-GB"/>
        </w:rPr>
        <w:t xml:space="preserve">for Handicapped Young Persons) </w:t>
      </w:r>
      <w:r w:rsidR="0021765C" w:rsidRPr="005F09EE">
        <w:rPr>
          <w:noProof/>
          <w:sz w:val="22"/>
          <w:szCs w:val="22"/>
          <w:lang w:val="en-GB"/>
        </w:rPr>
        <w:t>[</w:t>
      </w:r>
      <w:r w:rsidR="00BB07F3" w:rsidRPr="005F09EE">
        <w:rPr>
          <w:noProof/>
          <w:sz w:val="22"/>
          <w:szCs w:val="22"/>
          <w:lang w:val="en-GB"/>
        </w:rPr>
        <w:t>1</w:t>
      </w:r>
      <w:r w:rsidR="00AC0412" w:rsidRPr="005F09EE">
        <w:rPr>
          <w:noProof/>
          <w:sz w:val="22"/>
          <w:szCs w:val="22"/>
          <w:lang w:val="en-GB"/>
        </w:rPr>
        <w:t>5</w:t>
      </w:r>
      <w:r w:rsidR="00AF4BF2" w:rsidRPr="005F09EE">
        <w:rPr>
          <w:noProof/>
          <w:sz w:val="22"/>
          <w:szCs w:val="22"/>
          <w:lang w:val="en-GB"/>
        </w:rPr>
        <w:t>]</w:t>
      </w:r>
      <w:r w:rsidR="00BB07F3" w:rsidRPr="005F09EE">
        <w:rPr>
          <w:sz w:val="22"/>
          <w:szCs w:val="22"/>
          <w:lang w:val="en-GB"/>
        </w:rPr>
        <w:t xml:space="preserve">. </w:t>
      </w:r>
      <w:r w:rsidR="00E23648" w:rsidRPr="005F09EE">
        <w:rPr>
          <w:sz w:val="22"/>
          <w:szCs w:val="22"/>
          <w:lang w:val="en-GB"/>
        </w:rPr>
        <w:t>Someone</w:t>
      </w:r>
      <w:r w:rsidR="00EC2B32" w:rsidRPr="005F09EE">
        <w:rPr>
          <w:sz w:val="22"/>
          <w:szCs w:val="22"/>
          <w:lang w:val="en-GB"/>
        </w:rPr>
        <w:t xml:space="preserve"> </w:t>
      </w:r>
      <w:r w:rsidR="005C12B2" w:rsidRPr="005F09EE">
        <w:rPr>
          <w:sz w:val="22"/>
          <w:szCs w:val="22"/>
          <w:lang w:val="en-GB"/>
        </w:rPr>
        <w:t>may apply for Wajong if he/she is at least 25% occupationally disabled before the 17</w:t>
      </w:r>
      <w:r w:rsidR="005C12B2" w:rsidRPr="005F09EE">
        <w:rPr>
          <w:sz w:val="22"/>
          <w:szCs w:val="22"/>
          <w:vertAlign w:val="superscript"/>
          <w:lang w:val="en-GB"/>
        </w:rPr>
        <w:t>th</w:t>
      </w:r>
      <w:r w:rsidR="005C12B2" w:rsidRPr="005F09EE">
        <w:rPr>
          <w:sz w:val="22"/>
          <w:szCs w:val="22"/>
          <w:lang w:val="en-GB"/>
        </w:rPr>
        <w:t xml:space="preserve"> birthday or</w:t>
      </w:r>
      <w:r w:rsidR="00341B70" w:rsidRPr="005F09EE">
        <w:rPr>
          <w:sz w:val="22"/>
          <w:szCs w:val="22"/>
          <w:lang w:val="en-GB"/>
        </w:rPr>
        <w:t xml:space="preserve"> became occupationally disabled </w:t>
      </w:r>
      <w:r w:rsidR="005C12B2" w:rsidRPr="005F09EE">
        <w:rPr>
          <w:sz w:val="22"/>
          <w:szCs w:val="22"/>
          <w:lang w:val="en-GB"/>
        </w:rPr>
        <w:t xml:space="preserve">during </w:t>
      </w:r>
      <w:r w:rsidR="00E23648" w:rsidRPr="005F09EE">
        <w:rPr>
          <w:sz w:val="22"/>
          <w:szCs w:val="22"/>
          <w:lang w:val="en-GB"/>
        </w:rPr>
        <w:t>education</w:t>
      </w:r>
      <w:r w:rsidR="005C12B2" w:rsidRPr="005F09EE">
        <w:rPr>
          <w:sz w:val="22"/>
          <w:szCs w:val="22"/>
          <w:lang w:val="en-GB"/>
        </w:rPr>
        <w:t xml:space="preserve">. </w:t>
      </w:r>
      <w:r w:rsidR="00341B70" w:rsidRPr="005F09EE">
        <w:rPr>
          <w:sz w:val="22"/>
          <w:szCs w:val="22"/>
          <w:lang w:val="en-GB"/>
        </w:rPr>
        <w:t xml:space="preserve">The disability benefit consists of (supplementary) income support, and those who are fit to work are supported in finding and sustaining employment </w:t>
      </w:r>
      <w:r w:rsidR="0021765C" w:rsidRPr="005F09EE">
        <w:rPr>
          <w:sz w:val="22"/>
          <w:szCs w:val="22"/>
          <w:lang w:val="en-GB"/>
        </w:rPr>
        <w:t>[</w:t>
      </w:r>
      <w:r w:rsidR="00341B70" w:rsidRPr="005F09EE">
        <w:rPr>
          <w:noProof/>
          <w:sz w:val="22"/>
          <w:szCs w:val="22"/>
          <w:lang w:val="en-GB"/>
        </w:rPr>
        <w:t>1</w:t>
      </w:r>
      <w:r w:rsidR="00AC0412" w:rsidRPr="005F09EE">
        <w:rPr>
          <w:noProof/>
          <w:sz w:val="22"/>
          <w:szCs w:val="22"/>
          <w:lang w:val="en-GB"/>
        </w:rPr>
        <w:t>5</w:t>
      </w:r>
      <w:r w:rsidR="00341B70" w:rsidRPr="005F09EE">
        <w:rPr>
          <w:noProof/>
          <w:sz w:val="22"/>
          <w:szCs w:val="22"/>
          <w:lang w:val="en-GB"/>
        </w:rPr>
        <w:t>, 1</w:t>
      </w:r>
      <w:r w:rsidR="00AC0412" w:rsidRPr="005F09EE">
        <w:rPr>
          <w:noProof/>
          <w:sz w:val="22"/>
          <w:szCs w:val="22"/>
          <w:lang w:val="en-GB"/>
        </w:rPr>
        <w:t>6</w:t>
      </w:r>
      <w:r w:rsidR="00AF4BF2" w:rsidRPr="005F09EE">
        <w:rPr>
          <w:noProof/>
          <w:sz w:val="22"/>
          <w:szCs w:val="22"/>
          <w:lang w:val="en-GB"/>
        </w:rPr>
        <w:t>]</w:t>
      </w:r>
      <w:r w:rsidR="007D0718" w:rsidRPr="005F09EE">
        <w:rPr>
          <w:sz w:val="22"/>
          <w:szCs w:val="22"/>
          <w:lang w:val="en-GB"/>
        </w:rPr>
        <w:t xml:space="preserve">. </w:t>
      </w:r>
    </w:p>
    <w:p w:rsidR="00BB07F3" w:rsidRPr="005F09EE" w:rsidRDefault="005C12B2" w:rsidP="0080585F">
      <w:pPr>
        <w:spacing w:line="480" w:lineRule="auto"/>
        <w:ind w:firstLine="708"/>
        <w:outlineLvl w:val="0"/>
        <w:rPr>
          <w:sz w:val="22"/>
          <w:szCs w:val="22"/>
          <w:lang w:val="en-GB"/>
        </w:rPr>
      </w:pPr>
      <w:r w:rsidRPr="005F09EE">
        <w:rPr>
          <w:sz w:val="22"/>
          <w:szCs w:val="22"/>
          <w:lang w:val="en-GB"/>
        </w:rPr>
        <w:t xml:space="preserve">The </w:t>
      </w:r>
      <w:r w:rsidR="00341B70" w:rsidRPr="005F09EE">
        <w:rPr>
          <w:sz w:val="22"/>
          <w:szCs w:val="22"/>
          <w:lang w:val="en-GB"/>
        </w:rPr>
        <w:t xml:space="preserve">National Employee Insurance Agency assessed young adults’ work ability and capacity. </w:t>
      </w:r>
      <w:r w:rsidR="00BB07F3" w:rsidRPr="005F09EE">
        <w:rPr>
          <w:sz w:val="22"/>
          <w:szCs w:val="22"/>
          <w:lang w:val="en-GB"/>
        </w:rPr>
        <w:t xml:space="preserve">The number of benefit recipients rose from 147,000 in 2005 to 249,000 in 2015 </w:t>
      </w:r>
      <w:r w:rsidR="0021765C" w:rsidRPr="005F09EE">
        <w:rPr>
          <w:noProof/>
          <w:sz w:val="22"/>
          <w:szCs w:val="22"/>
          <w:lang w:val="en-GB"/>
        </w:rPr>
        <w:t>[</w:t>
      </w:r>
      <w:r w:rsidR="00BB07F3" w:rsidRPr="005F09EE">
        <w:rPr>
          <w:noProof/>
          <w:sz w:val="22"/>
          <w:szCs w:val="22"/>
          <w:lang w:val="en-GB"/>
        </w:rPr>
        <w:t>1</w:t>
      </w:r>
      <w:r w:rsidR="00AC0412" w:rsidRPr="005F09EE">
        <w:rPr>
          <w:noProof/>
          <w:sz w:val="22"/>
          <w:szCs w:val="22"/>
          <w:lang w:val="en-GB"/>
        </w:rPr>
        <w:t>5</w:t>
      </w:r>
      <w:r w:rsidR="00BB07F3" w:rsidRPr="005F09EE">
        <w:rPr>
          <w:noProof/>
          <w:sz w:val="22"/>
          <w:szCs w:val="22"/>
          <w:lang w:val="en-GB"/>
        </w:rPr>
        <w:t>, 1</w:t>
      </w:r>
      <w:r w:rsidR="00AC0412" w:rsidRPr="005F09EE">
        <w:rPr>
          <w:noProof/>
          <w:sz w:val="22"/>
          <w:szCs w:val="22"/>
          <w:lang w:val="en-GB"/>
        </w:rPr>
        <w:t>7</w:t>
      </w:r>
      <w:r w:rsidR="00AF4BF2" w:rsidRPr="005F09EE">
        <w:rPr>
          <w:noProof/>
          <w:sz w:val="22"/>
          <w:szCs w:val="22"/>
          <w:lang w:val="en-GB"/>
        </w:rPr>
        <w:t>]</w:t>
      </w:r>
      <w:r w:rsidR="00BB07F3" w:rsidRPr="005F09EE">
        <w:rPr>
          <w:sz w:val="22"/>
          <w:szCs w:val="22"/>
          <w:lang w:val="en-GB"/>
        </w:rPr>
        <w:t xml:space="preserve">. Around 25% of the benefit recipients were employed, while 60% of all recipients were found fit to work </w:t>
      </w:r>
      <w:r w:rsidR="0021765C" w:rsidRPr="005F09EE">
        <w:rPr>
          <w:noProof/>
          <w:sz w:val="22"/>
          <w:szCs w:val="22"/>
          <w:lang w:val="en-GB"/>
        </w:rPr>
        <w:t>[</w:t>
      </w:r>
      <w:r w:rsidR="00BB07F3" w:rsidRPr="005F09EE">
        <w:rPr>
          <w:noProof/>
          <w:sz w:val="22"/>
          <w:szCs w:val="22"/>
          <w:lang w:val="en-GB"/>
        </w:rPr>
        <w:t>1</w:t>
      </w:r>
      <w:r w:rsidR="00AC0412" w:rsidRPr="005F09EE">
        <w:rPr>
          <w:noProof/>
          <w:sz w:val="22"/>
          <w:szCs w:val="22"/>
          <w:lang w:val="en-GB"/>
        </w:rPr>
        <w:t>8</w:t>
      </w:r>
      <w:r w:rsidR="00AF4BF2" w:rsidRPr="005F09EE">
        <w:rPr>
          <w:noProof/>
          <w:sz w:val="22"/>
          <w:szCs w:val="22"/>
          <w:lang w:val="en-GB"/>
        </w:rPr>
        <w:t>]</w:t>
      </w:r>
      <w:r w:rsidR="00BB07F3" w:rsidRPr="005F09EE">
        <w:rPr>
          <w:sz w:val="22"/>
          <w:szCs w:val="22"/>
          <w:lang w:val="en-GB"/>
        </w:rPr>
        <w:t xml:space="preserve">. </w:t>
      </w:r>
      <w:r w:rsidR="00944BAF" w:rsidRPr="005F09EE">
        <w:rPr>
          <w:sz w:val="22"/>
          <w:szCs w:val="22"/>
          <w:lang w:val="en-GB"/>
        </w:rPr>
        <w:t>In other countries</w:t>
      </w:r>
      <w:r w:rsidR="005F4EB6" w:rsidRPr="005F09EE">
        <w:rPr>
          <w:sz w:val="22"/>
          <w:szCs w:val="22"/>
          <w:lang w:val="en-GB"/>
        </w:rPr>
        <w:t xml:space="preserve"> </w:t>
      </w:r>
      <w:r w:rsidR="00BB07F3" w:rsidRPr="005F09EE">
        <w:rPr>
          <w:sz w:val="22"/>
          <w:szCs w:val="22"/>
          <w:lang w:val="en-GB"/>
        </w:rPr>
        <w:t xml:space="preserve">the number of disability benefit claims has </w:t>
      </w:r>
      <w:r w:rsidR="005F4EB6" w:rsidRPr="005F09EE">
        <w:rPr>
          <w:sz w:val="22"/>
          <w:szCs w:val="22"/>
          <w:lang w:val="en-GB"/>
        </w:rPr>
        <w:t xml:space="preserve">also </w:t>
      </w:r>
      <w:r w:rsidR="00BB07F3" w:rsidRPr="005F09EE">
        <w:rPr>
          <w:sz w:val="22"/>
          <w:szCs w:val="22"/>
          <w:lang w:val="en-GB"/>
        </w:rPr>
        <w:t xml:space="preserve">risen in </w:t>
      </w:r>
      <w:r w:rsidR="005F4EB6" w:rsidRPr="005F09EE">
        <w:rPr>
          <w:sz w:val="22"/>
          <w:szCs w:val="22"/>
          <w:lang w:val="en-GB"/>
        </w:rPr>
        <w:t>recent</w:t>
      </w:r>
      <w:r w:rsidR="00BB07F3" w:rsidRPr="005F09EE">
        <w:rPr>
          <w:sz w:val="22"/>
          <w:szCs w:val="22"/>
          <w:lang w:val="en-GB"/>
        </w:rPr>
        <w:t xml:space="preserve"> years</w:t>
      </w:r>
      <w:r w:rsidR="00944BAF" w:rsidRPr="005F09EE">
        <w:rPr>
          <w:sz w:val="22"/>
          <w:szCs w:val="22"/>
          <w:lang w:val="en-GB"/>
        </w:rPr>
        <w:t>,</w:t>
      </w:r>
      <w:r w:rsidR="00BB07F3" w:rsidRPr="005F09EE">
        <w:rPr>
          <w:sz w:val="22"/>
          <w:szCs w:val="22"/>
          <w:lang w:val="en-GB"/>
        </w:rPr>
        <w:t xml:space="preserve"> </w:t>
      </w:r>
      <w:r w:rsidR="005F4EB6" w:rsidRPr="005F09EE">
        <w:rPr>
          <w:sz w:val="22"/>
          <w:szCs w:val="22"/>
          <w:lang w:val="en-GB"/>
        </w:rPr>
        <w:t xml:space="preserve">with </w:t>
      </w:r>
      <w:r w:rsidR="00BB07F3" w:rsidRPr="005F09EE">
        <w:rPr>
          <w:sz w:val="22"/>
          <w:szCs w:val="22"/>
          <w:lang w:val="en-GB"/>
        </w:rPr>
        <w:t xml:space="preserve">lower employment rates reported for benefit recipients </w:t>
      </w:r>
      <w:r w:rsidR="0021765C" w:rsidRPr="005F09EE">
        <w:rPr>
          <w:sz w:val="22"/>
          <w:szCs w:val="22"/>
          <w:lang w:val="en-GB"/>
        </w:rPr>
        <w:t>[</w:t>
      </w:r>
      <w:r w:rsidR="00BB07F3" w:rsidRPr="005F09EE">
        <w:rPr>
          <w:noProof/>
          <w:sz w:val="22"/>
          <w:szCs w:val="22"/>
          <w:lang w:val="en-GB"/>
        </w:rPr>
        <w:t>8</w:t>
      </w:r>
      <w:r w:rsidR="00AF4BF2" w:rsidRPr="005F09EE">
        <w:rPr>
          <w:noProof/>
          <w:sz w:val="22"/>
          <w:szCs w:val="22"/>
          <w:lang w:val="en-GB"/>
        </w:rPr>
        <w:t>]</w:t>
      </w:r>
      <w:r w:rsidR="00BB07F3" w:rsidRPr="005F09EE">
        <w:rPr>
          <w:sz w:val="22"/>
          <w:szCs w:val="22"/>
          <w:lang w:val="en-GB"/>
        </w:rPr>
        <w:t>.</w:t>
      </w:r>
    </w:p>
    <w:p w:rsidR="0009407A" w:rsidRPr="00871CE8" w:rsidRDefault="00BB07F3" w:rsidP="0009407A">
      <w:pPr>
        <w:spacing w:line="480" w:lineRule="auto"/>
        <w:outlineLvl w:val="0"/>
        <w:rPr>
          <w:sz w:val="22"/>
          <w:szCs w:val="22"/>
          <w:lang w:val="en-GB"/>
        </w:rPr>
      </w:pPr>
      <w:r w:rsidRPr="004A5F5F">
        <w:rPr>
          <w:sz w:val="22"/>
          <w:szCs w:val="22"/>
          <w:lang w:val="en-GB"/>
        </w:rPr>
        <w:lastRenderedPageBreak/>
        <w:t xml:space="preserve">Recent studies among young </w:t>
      </w:r>
      <w:r w:rsidR="002F5129" w:rsidRPr="004A5F5F">
        <w:rPr>
          <w:sz w:val="22"/>
          <w:szCs w:val="22"/>
          <w:lang w:val="en-GB"/>
        </w:rPr>
        <w:t xml:space="preserve">adults </w:t>
      </w:r>
      <w:r w:rsidRPr="004A5F5F">
        <w:rPr>
          <w:sz w:val="22"/>
          <w:szCs w:val="22"/>
          <w:lang w:val="en-GB"/>
        </w:rPr>
        <w:t xml:space="preserve">receiving </w:t>
      </w:r>
      <w:r w:rsidR="00F202CE">
        <w:rPr>
          <w:sz w:val="22"/>
          <w:szCs w:val="22"/>
          <w:lang w:val="en-GB"/>
        </w:rPr>
        <w:t xml:space="preserve">disability benefits </w:t>
      </w:r>
      <w:r w:rsidR="00944BAF">
        <w:rPr>
          <w:sz w:val="22"/>
          <w:szCs w:val="22"/>
          <w:lang w:val="en-GB"/>
        </w:rPr>
        <w:t xml:space="preserve">emphasized that they have a </w:t>
      </w:r>
      <w:r w:rsidRPr="004A5F5F">
        <w:rPr>
          <w:sz w:val="22"/>
          <w:szCs w:val="22"/>
          <w:lang w:val="en-GB"/>
        </w:rPr>
        <w:t xml:space="preserve">less favourable developmental trajectory while growing up compared to healthy age-mates </w:t>
      </w:r>
      <w:r w:rsidR="0021765C">
        <w:rPr>
          <w:sz w:val="22"/>
          <w:szCs w:val="22"/>
          <w:lang w:val="en-GB"/>
        </w:rPr>
        <w:t>[</w:t>
      </w:r>
      <w:r w:rsidRPr="004A5F5F">
        <w:rPr>
          <w:noProof/>
          <w:sz w:val="22"/>
          <w:szCs w:val="22"/>
          <w:lang w:val="en-GB"/>
        </w:rPr>
        <w:t>1</w:t>
      </w:r>
      <w:r w:rsidR="00AC0412" w:rsidRPr="004A5F5F">
        <w:rPr>
          <w:noProof/>
          <w:sz w:val="22"/>
          <w:szCs w:val="22"/>
          <w:lang w:val="en-GB"/>
        </w:rPr>
        <w:t>6</w:t>
      </w:r>
      <w:r w:rsidRPr="004A5F5F">
        <w:rPr>
          <w:noProof/>
          <w:sz w:val="22"/>
          <w:szCs w:val="22"/>
          <w:lang w:val="en-GB"/>
        </w:rPr>
        <w:t>, 1</w:t>
      </w:r>
      <w:r w:rsidR="00AC0412" w:rsidRPr="004A5F5F">
        <w:rPr>
          <w:noProof/>
          <w:sz w:val="22"/>
          <w:szCs w:val="22"/>
          <w:lang w:val="en-GB"/>
        </w:rPr>
        <w:t>9, 20</w:t>
      </w:r>
      <w:r w:rsidR="00AF4BF2">
        <w:rPr>
          <w:noProof/>
          <w:sz w:val="22"/>
          <w:szCs w:val="22"/>
          <w:lang w:val="en-GB"/>
        </w:rPr>
        <w:t>]</w:t>
      </w:r>
      <w:r w:rsidRPr="004A5F5F">
        <w:rPr>
          <w:sz w:val="22"/>
          <w:szCs w:val="22"/>
          <w:lang w:val="en-GB"/>
        </w:rPr>
        <w:t>.</w:t>
      </w:r>
      <w:r w:rsidR="005F4EB6">
        <w:rPr>
          <w:sz w:val="22"/>
          <w:szCs w:val="22"/>
          <w:lang w:val="en-GB"/>
        </w:rPr>
        <w:t>I</w:t>
      </w:r>
      <w:r w:rsidRPr="004A5F5F">
        <w:rPr>
          <w:sz w:val="22"/>
          <w:szCs w:val="22"/>
          <w:lang w:val="en-GB"/>
        </w:rPr>
        <w:t xml:space="preserve">n young adulthood, </w:t>
      </w:r>
      <w:r w:rsidR="00F202CE">
        <w:rPr>
          <w:sz w:val="22"/>
          <w:szCs w:val="22"/>
          <w:lang w:val="en-GB"/>
        </w:rPr>
        <w:t xml:space="preserve">they </w:t>
      </w:r>
      <w:r w:rsidRPr="004A5F5F">
        <w:rPr>
          <w:sz w:val="22"/>
          <w:szCs w:val="22"/>
          <w:lang w:val="en-GB"/>
        </w:rPr>
        <w:t xml:space="preserve">report lower health-related quality of life </w:t>
      </w:r>
      <w:r w:rsidR="0021765C">
        <w:rPr>
          <w:sz w:val="22"/>
          <w:szCs w:val="22"/>
          <w:lang w:val="en-GB"/>
        </w:rPr>
        <w:t>(</w:t>
      </w:r>
      <w:r w:rsidRPr="004A5F5F">
        <w:rPr>
          <w:sz w:val="22"/>
          <w:szCs w:val="22"/>
          <w:lang w:val="en-GB"/>
        </w:rPr>
        <w:t xml:space="preserve">HRQoL) and are at higher risk for anxiety and depression </w:t>
      </w:r>
      <w:r w:rsidR="0021765C">
        <w:rPr>
          <w:noProof/>
          <w:sz w:val="22"/>
          <w:szCs w:val="22"/>
          <w:lang w:val="en-GB"/>
        </w:rPr>
        <w:t>[</w:t>
      </w:r>
      <w:r w:rsidRPr="004A5F5F">
        <w:rPr>
          <w:noProof/>
          <w:sz w:val="22"/>
          <w:szCs w:val="22"/>
          <w:lang w:val="en-GB"/>
        </w:rPr>
        <w:t>1</w:t>
      </w:r>
      <w:r w:rsidR="00AC0412" w:rsidRPr="004A5F5F">
        <w:rPr>
          <w:noProof/>
          <w:sz w:val="22"/>
          <w:szCs w:val="22"/>
          <w:lang w:val="en-GB"/>
        </w:rPr>
        <w:t>9</w:t>
      </w:r>
      <w:r w:rsidR="00481C3F" w:rsidRPr="004A5F5F">
        <w:rPr>
          <w:noProof/>
          <w:sz w:val="22"/>
          <w:szCs w:val="22"/>
          <w:lang w:val="en-GB"/>
        </w:rPr>
        <w:t>, 2</w:t>
      </w:r>
      <w:r w:rsidR="00AC0412" w:rsidRPr="004A5F5F">
        <w:rPr>
          <w:noProof/>
          <w:sz w:val="22"/>
          <w:szCs w:val="22"/>
          <w:lang w:val="en-GB"/>
        </w:rPr>
        <w:t>1</w:t>
      </w:r>
      <w:r w:rsidR="00AF4BF2">
        <w:rPr>
          <w:noProof/>
          <w:sz w:val="22"/>
          <w:szCs w:val="22"/>
          <w:lang w:val="en-GB"/>
        </w:rPr>
        <w:t>]</w:t>
      </w:r>
      <w:r w:rsidR="00C27D3C" w:rsidRPr="004A5F5F">
        <w:rPr>
          <w:sz w:val="22"/>
          <w:szCs w:val="22"/>
          <w:lang w:val="en-GB"/>
        </w:rPr>
        <w:t>. P</w:t>
      </w:r>
      <w:r w:rsidRPr="004A5F5F">
        <w:rPr>
          <w:sz w:val="22"/>
          <w:szCs w:val="22"/>
          <w:lang w:val="en-GB"/>
        </w:rPr>
        <w:t xml:space="preserve">sychosocial support during childhood and adolescence </w:t>
      </w:r>
      <w:r w:rsidR="00C27D3C" w:rsidRPr="004A5F5F">
        <w:rPr>
          <w:sz w:val="22"/>
          <w:szCs w:val="22"/>
          <w:lang w:val="en-GB"/>
        </w:rPr>
        <w:t xml:space="preserve">is </w:t>
      </w:r>
      <w:r w:rsidR="005F4EB6">
        <w:rPr>
          <w:sz w:val="22"/>
          <w:szCs w:val="22"/>
          <w:lang w:val="en-GB"/>
        </w:rPr>
        <w:t xml:space="preserve">therefore </w:t>
      </w:r>
      <w:r w:rsidR="00C27D3C" w:rsidRPr="004A5F5F">
        <w:rPr>
          <w:sz w:val="22"/>
          <w:szCs w:val="22"/>
          <w:lang w:val="en-GB"/>
        </w:rPr>
        <w:t xml:space="preserve">recommended </w:t>
      </w:r>
      <w:r w:rsidR="0021765C">
        <w:rPr>
          <w:noProof/>
          <w:sz w:val="22"/>
          <w:szCs w:val="22"/>
          <w:lang w:val="en-GB"/>
        </w:rPr>
        <w:t>[</w:t>
      </w:r>
      <w:r w:rsidR="00AC0412" w:rsidRPr="004A5F5F">
        <w:rPr>
          <w:noProof/>
          <w:sz w:val="22"/>
          <w:szCs w:val="22"/>
          <w:lang w:val="en-GB"/>
        </w:rPr>
        <w:t>20</w:t>
      </w:r>
      <w:r w:rsidR="00AF4BF2">
        <w:rPr>
          <w:noProof/>
          <w:sz w:val="22"/>
          <w:szCs w:val="22"/>
          <w:lang w:val="en-GB"/>
        </w:rPr>
        <w:t>]</w:t>
      </w:r>
      <w:r w:rsidRPr="004A5F5F">
        <w:rPr>
          <w:sz w:val="22"/>
          <w:szCs w:val="22"/>
          <w:lang w:val="en-GB"/>
        </w:rPr>
        <w:t xml:space="preserve">. </w:t>
      </w:r>
      <w:r w:rsidR="005F4EB6">
        <w:rPr>
          <w:sz w:val="22"/>
          <w:szCs w:val="22"/>
          <w:lang w:val="en-GB"/>
        </w:rPr>
        <w:t>Still</w:t>
      </w:r>
      <w:r w:rsidRPr="004A5F5F">
        <w:rPr>
          <w:sz w:val="22"/>
          <w:szCs w:val="22"/>
          <w:lang w:val="en-GB"/>
        </w:rPr>
        <w:t xml:space="preserve">, little is known about the possible differences </w:t>
      </w:r>
      <w:r w:rsidR="00C2710F" w:rsidRPr="004A5F5F">
        <w:rPr>
          <w:sz w:val="22"/>
          <w:szCs w:val="22"/>
          <w:lang w:val="en-GB"/>
        </w:rPr>
        <w:t>between</w:t>
      </w:r>
      <w:r w:rsidR="00FD336F" w:rsidRPr="004A5F5F">
        <w:rPr>
          <w:sz w:val="22"/>
          <w:szCs w:val="22"/>
          <w:lang w:val="en-GB"/>
        </w:rPr>
        <w:t xml:space="preserve"> young people </w:t>
      </w:r>
      <w:r w:rsidR="00554D91">
        <w:rPr>
          <w:sz w:val="22"/>
          <w:szCs w:val="22"/>
          <w:lang w:val="en-GB"/>
        </w:rPr>
        <w:t xml:space="preserve">with chronic physical conditions </w:t>
      </w:r>
      <w:r w:rsidR="00FD336F" w:rsidRPr="004A5F5F">
        <w:rPr>
          <w:sz w:val="22"/>
          <w:szCs w:val="22"/>
          <w:lang w:val="en-GB"/>
        </w:rPr>
        <w:t xml:space="preserve">who apply for </w:t>
      </w:r>
      <w:r w:rsidRPr="004A5F5F">
        <w:rPr>
          <w:sz w:val="22"/>
          <w:szCs w:val="22"/>
          <w:lang w:val="en-GB"/>
        </w:rPr>
        <w:t xml:space="preserve">disability benefits and </w:t>
      </w:r>
      <w:r w:rsidR="00FD336F" w:rsidRPr="004A5F5F">
        <w:rPr>
          <w:sz w:val="22"/>
          <w:szCs w:val="22"/>
          <w:lang w:val="en-GB"/>
        </w:rPr>
        <w:t>those who do not</w:t>
      </w:r>
      <w:r w:rsidRPr="004A5F5F">
        <w:rPr>
          <w:sz w:val="22"/>
          <w:szCs w:val="22"/>
          <w:lang w:val="en-GB"/>
        </w:rPr>
        <w:t xml:space="preserve"> </w:t>
      </w:r>
      <w:r w:rsidR="0021765C">
        <w:rPr>
          <w:noProof/>
          <w:sz w:val="22"/>
          <w:szCs w:val="22"/>
          <w:lang w:val="en-GB"/>
        </w:rPr>
        <w:t>[</w:t>
      </w:r>
      <w:r w:rsidR="00481C3F" w:rsidRPr="004A5F5F">
        <w:rPr>
          <w:noProof/>
          <w:sz w:val="22"/>
          <w:szCs w:val="22"/>
          <w:lang w:val="en-GB"/>
        </w:rPr>
        <w:t>2</w:t>
      </w:r>
      <w:r w:rsidR="00AC0412" w:rsidRPr="004A5F5F">
        <w:rPr>
          <w:noProof/>
          <w:sz w:val="22"/>
          <w:szCs w:val="22"/>
          <w:lang w:val="en-GB"/>
        </w:rPr>
        <w:t>1</w:t>
      </w:r>
      <w:r w:rsidR="00AF4BF2">
        <w:rPr>
          <w:noProof/>
          <w:sz w:val="22"/>
          <w:szCs w:val="22"/>
          <w:lang w:val="en-GB"/>
        </w:rPr>
        <w:t>]</w:t>
      </w:r>
      <w:r w:rsidRPr="004A5F5F">
        <w:rPr>
          <w:sz w:val="22"/>
          <w:szCs w:val="22"/>
          <w:lang w:val="en-GB"/>
        </w:rPr>
        <w:t>.</w:t>
      </w:r>
      <w:r w:rsidR="00BD64DE">
        <w:rPr>
          <w:sz w:val="22"/>
          <w:szCs w:val="22"/>
          <w:lang w:val="en-GB"/>
        </w:rPr>
        <w:t xml:space="preserve"> </w:t>
      </w:r>
      <w:r w:rsidRPr="004A5F5F">
        <w:rPr>
          <w:sz w:val="22"/>
          <w:szCs w:val="22"/>
          <w:lang w:val="en-GB"/>
        </w:rPr>
        <w:t>Th</w:t>
      </w:r>
      <w:r w:rsidR="00BD64DE">
        <w:rPr>
          <w:sz w:val="22"/>
          <w:szCs w:val="22"/>
          <w:lang w:val="en-GB"/>
        </w:rPr>
        <w:t>is</w:t>
      </w:r>
      <w:r w:rsidRPr="004A5F5F">
        <w:rPr>
          <w:sz w:val="22"/>
          <w:szCs w:val="22"/>
          <w:lang w:val="en-GB"/>
        </w:rPr>
        <w:t xml:space="preserve"> study aims to explore the association between characteristics during adolescence</w:t>
      </w:r>
      <w:r w:rsidR="00470AEA">
        <w:rPr>
          <w:sz w:val="22"/>
          <w:szCs w:val="22"/>
          <w:lang w:val="en-GB"/>
        </w:rPr>
        <w:t xml:space="preserve"> </w:t>
      </w:r>
      <w:r w:rsidRPr="004A5F5F">
        <w:rPr>
          <w:sz w:val="22"/>
          <w:szCs w:val="22"/>
          <w:lang w:val="en-GB"/>
        </w:rPr>
        <w:t>and the likelihood of receiving disability benefits in young adulthood</w:t>
      </w:r>
      <w:r w:rsidR="00BD64DE">
        <w:rPr>
          <w:sz w:val="22"/>
          <w:szCs w:val="22"/>
          <w:lang w:val="en-GB"/>
        </w:rPr>
        <w:t xml:space="preserve"> </w:t>
      </w:r>
      <w:r w:rsidRPr="004A5F5F">
        <w:rPr>
          <w:sz w:val="22"/>
          <w:szCs w:val="22"/>
          <w:lang w:val="en-GB"/>
        </w:rPr>
        <w:t xml:space="preserve">among a cohort of </w:t>
      </w:r>
      <w:r w:rsidR="00135310" w:rsidRPr="004A5F5F">
        <w:rPr>
          <w:sz w:val="22"/>
          <w:szCs w:val="22"/>
          <w:lang w:val="en-GB"/>
        </w:rPr>
        <w:t xml:space="preserve">young people </w:t>
      </w:r>
      <w:r w:rsidRPr="004A5F5F">
        <w:rPr>
          <w:sz w:val="22"/>
          <w:szCs w:val="22"/>
          <w:lang w:val="en-GB"/>
        </w:rPr>
        <w:t xml:space="preserve">with chronic </w:t>
      </w:r>
      <w:r w:rsidR="001D2E9B" w:rsidRPr="004A5F5F">
        <w:rPr>
          <w:sz w:val="22"/>
          <w:szCs w:val="22"/>
          <w:lang w:val="en-GB"/>
        </w:rPr>
        <w:t xml:space="preserve">physical </w:t>
      </w:r>
      <w:r w:rsidRPr="004A5F5F">
        <w:rPr>
          <w:sz w:val="22"/>
          <w:szCs w:val="22"/>
          <w:lang w:val="en-GB"/>
        </w:rPr>
        <w:t xml:space="preserve">conditions. In addition, </w:t>
      </w:r>
      <w:r w:rsidR="00BD64DE">
        <w:rPr>
          <w:sz w:val="22"/>
          <w:szCs w:val="22"/>
          <w:lang w:val="en-GB"/>
        </w:rPr>
        <w:t xml:space="preserve">the </w:t>
      </w:r>
      <w:r w:rsidRPr="004A5F5F">
        <w:rPr>
          <w:sz w:val="22"/>
          <w:szCs w:val="22"/>
          <w:lang w:val="en-GB"/>
        </w:rPr>
        <w:t xml:space="preserve">differences between benefit recipients and non-recipients on </w:t>
      </w:r>
      <w:r w:rsidR="00BD64DE" w:rsidRPr="00174704">
        <w:rPr>
          <w:sz w:val="22"/>
          <w:szCs w:val="22"/>
          <w:lang w:val="en-GB"/>
        </w:rPr>
        <w:t>participation and p</w:t>
      </w:r>
      <w:r w:rsidRPr="00174704">
        <w:rPr>
          <w:sz w:val="22"/>
          <w:szCs w:val="22"/>
          <w:lang w:val="en-GB"/>
        </w:rPr>
        <w:t>sychosocial outcomes in young adulthood</w:t>
      </w:r>
      <w:r w:rsidR="00554D91" w:rsidRPr="00174704">
        <w:rPr>
          <w:sz w:val="22"/>
          <w:szCs w:val="22"/>
          <w:lang w:val="en-GB"/>
        </w:rPr>
        <w:t xml:space="preserve"> are studied</w:t>
      </w:r>
      <w:r w:rsidRPr="00174704">
        <w:rPr>
          <w:sz w:val="22"/>
          <w:szCs w:val="22"/>
          <w:lang w:val="en-GB"/>
        </w:rPr>
        <w:t xml:space="preserve">. </w:t>
      </w:r>
      <w:r w:rsidR="0009407A" w:rsidRPr="00174704">
        <w:rPr>
          <w:sz w:val="22"/>
          <w:szCs w:val="22"/>
          <w:lang w:val="en-GB"/>
        </w:rPr>
        <w:t>By doing so, insights for future policy and rehabilitation care could be provided.</w:t>
      </w:r>
    </w:p>
    <w:p w:rsidR="00BB07F3" w:rsidRPr="004A5F5F" w:rsidRDefault="00BB07F3" w:rsidP="004A5F5F">
      <w:pPr>
        <w:spacing w:line="480" w:lineRule="auto"/>
        <w:outlineLvl w:val="0"/>
        <w:rPr>
          <w:sz w:val="22"/>
          <w:szCs w:val="22"/>
          <w:highlight w:val="yellow"/>
          <w:lang w:val="en-GB"/>
        </w:rPr>
      </w:pPr>
    </w:p>
    <w:p w:rsidR="00692032" w:rsidRPr="004A5F5F" w:rsidRDefault="0021765C" w:rsidP="004A5F5F">
      <w:pPr>
        <w:spacing w:line="480" w:lineRule="auto"/>
        <w:outlineLvl w:val="0"/>
        <w:rPr>
          <w:b/>
          <w:sz w:val="22"/>
          <w:szCs w:val="22"/>
          <w:u w:val="single"/>
          <w:lang w:val="en-GB"/>
        </w:rPr>
      </w:pPr>
      <w:r>
        <w:rPr>
          <w:b/>
          <w:sz w:val="22"/>
          <w:szCs w:val="22"/>
          <w:u w:val="single"/>
          <w:lang w:val="en-GB"/>
        </w:rPr>
        <w:t>Material and m</w:t>
      </w:r>
      <w:r w:rsidR="001C7C95">
        <w:rPr>
          <w:b/>
          <w:sz w:val="22"/>
          <w:szCs w:val="22"/>
          <w:u w:val="single"/>
          <w:lang w:val="en-GB"/>
        </w:rPr>
        <w:t>ethods</w:t>
      </w:r>
    </w:p>
    <w:p w:rsidR="00CC0E2E" w:rsidRPr="004A5F5F" w:rsidRDefault="00CC0E2E" w:rsidP="004A5F5F">
      <w:pPr>
        <w:spacing w:line="480" w:lineRule="auto"/>
        <w:outlineLvl w:val="0"/>
        <w:rPr>
          <w:b/>
          <w:sz w:val="22"/>
          <w:szCs w:val="22"/>
          <w:u w:val="single"/>
          <w:lang w:val="en-GB"/>
        </w:rPr>
      </w:pPr>
    </w:p>
    <w:p w:rsidR="00BB07F3" w:rsidRPr="004A5F5F" w:rsidRDefault="00BB07F3" w:rsidP="004A5F5F">
      <w:pPr>
        <w:spacing w:line="480" w:lineRule="auto"/>
        <w:rPr>
          <w:b/>
          <w:sz w:val="22"/>
          <w:szCs w:val="22"/>
          <w:lang w:val="en-US"/>
        </w:rPr>
      </w:pPr>
      <w:r w:rsidRPr="004A5F5F">
        <w:rPr>
          <w:b/>
          <w:sz w:val="22"/>
          <w:szCs w:val="22"/>
          <w:lang w:val="en-US"/>
        </w:rPr>
        <w:t>Study design and participants</w:t>
      </w:r>
    </w:p>
    <w:p w:rsidR="00BB07F3" w:rsidRPr="004A5F5F" w:rsidRDefault="00BB07F3" w:rsidP="004A5F5F">
      <w:pPr>
        <w:spacing w:line="480" w:lineRule="auto"/>
        <w:rPr>
          <w:sz w:val="22"/>
          <w:szCs w:val="22"/>
          <w:lang w:val="en-US"/>
        </w:rPr>
      </w:pPr>
      <w:r w:rsidRPr="004A5F5F">
        <w:rPr>
          <w:sz w:val="22"/>
          <w:szCs w:val="22"/>
          <w:lang w:val="en-US"/>
        </w:rPr>
        <w:t xml:space="preserve">A longitudinal survey study was conducted in which participants of a web-based survey in 2006 (T0) were re-invited for a similar survey six years later (T1) </w:t>
      </w:r>
      <w:r w:rsidR="0021765C">
        <w:rPr>
          <w:noProof/>
          <w:sz w:val="22"/>
          <w:szCs w:val="22"/>
          <w:lang w:val="en-US"/>
        </w:rPr>
        <w:t>[</w:t>
      </w:r>
      <w:r w:rsidRPr="004A5F5F">
        <w:rPr>
          <w:noProof/>
          <w:sz w:val="22"/>
          <w:szCs w:val="22"/>
          <w:lang w:val="en-US"/>
        </w:rPr>
        <w:t>2</w:t>
      </w:r>
      <w:r w:rsidR="00AC0412" w:rsidRPr="004A5F5F">
        <w:rPr>
          <w:noProof/>
          <w:sz w:val="22"/>
          <w:szCs w:val="22"/>
          <w:lang w:val="en-US"/>
        </w:rPr>
        <w:t>2</w:t>
      </w:r>
      <w:r w:rsidR="00AF4BF2">
        <w:rPr>
          <w:noProof/>
          <w:sz w:val="22"/>
          <w:szCs w:val="22"/>
          <w:lang w:val="en-US"/>
        </w:rPr>
        <w:t>]</w:t>
      </w:r>
      <w:r w:rsidRPr="004A5F5F">
        <w:rPr>
          <w:sz w:val="22"/>
          <w:szCs w:val="22"/>
          <w:lang w:val="en-US"/>
        </w:rPr>
        <w:t xml:space="preserve">. The web-based follow-up questionnaire was basically the same as the previous questionnaire, except that questions on social participation and source of income were added. It was pilot tested in face-to-face (n=7) and telephone (n=3) interviews with young university students with a chronic </w:t>
      </w:r>
      <w:r w:rsidR="001D2E9B" w:rsidRPr="004A5F5F">
        <w:rPr>
          <w:sz w:val="22"/>
          <w:szCs w:val="22"/>
          <w:lang w:val="en-US"/>
        </w:rPr>
        <w:t xml:space="preserve">physical </w:t>
      </w:r>
      <w:r w:rsidRPr="004A5F5F">
        <w:rPr>
          <w:sz w:val="22"/>
          <w:szCs w:val="22"/>
          <w:lang w:val="en-US"/>
        </w:rPr>
        <w:t xml:space="preserve">condition, who were not included in the final sample. </w:t>
      </w:r>
      <w:r w:rsidR="0050306D" w:rsidRPr="00697AF1">
        <w:rPr>
          <w:color w:val="FF0000"/>
          <w:sz w:val="22"/>
          <w:szCs w:val="22"/>
          <w:lang w:val="en-US"/>
        </w:rPr>
        <w:t xml:space="preserve">Based on the </w:t>
      </w:r>
      <w:r w:rsidR="003D3CEF" w:rsidRPr="00697AF1">
        <w:rPr>
          <w:color w:val="FF0000"/>
          <w:sz w:val="22"/>
          <w:szCs w:val="22"/>
          <w:lang w:val="en-US"/>
        </w:rPr>
        <w:t>pilot-test</w:t>
      </w:r>
      <w:r w:rsidR="0050306D" w:rsidRPr="00697AF1">
        <w:rPr>
          <w:color w:val="FF0000"/>
          <w:sz w:val="22"/>
          <w:szCs w:val="22"/>
          <w:lang w:val="en-US"/>
        </w:rPr>
        <w:t>,</w:t>
      </w:r>
      <w:r w:rsidR="00E57D14" w:rsidRPr="00697AF1">
        <w:rPr>
          <w:color w:val="FF0000"/>
          <w:sz w:val="22"/>
          <w:szCs w:val="22"/>
          <w:lang w:val="en-US"/>
        </w:rPr>
        <w:t xml:space="preserve"> </w:t>
      </w:r>
      <w:r w:rsidR="00072950" w:rsidRPr="00697AF1">
        <w:rPr>
          <w:color w:val="FF0000"/>
          <w:sz w:val="22"/>
          <w:szCs w:val="22"/>
          <w:lang w:val="en-US"/>
        </w:rPr>
        <w:t xml:space="preserve">some questions were </w:t>
      </w:r>
      <w:r w:rsidR="003D3CEF" w:rsidRPr="00697AF1">
        <w:rPr>
          <w:color w:val="FF0000"/>
          <w:sz w:val="22"/>
          <w:szCs w:val="22"/>
          <w:lang w:val="en-US"/>
        </w:rPr>
        <w:t>rephrased or deleted</w:t>
      </w:r>
      <w:r w:rsidR="00072950" w:rsidRPr="00697AF1">
        <w:rPr>
          <w:color w:val="FF0000"/>
          <w:sz w:val="22"/>
          <w:szCs w:val="22"/>
          <w:lang w:val="en-US"/>
        </w:rPr>
        <w:t xml:space="preserve"> in order to reduce the response time.</w:t>
      </w:r>
    </w:p>
    <w:p w:rsidR="00BB07F3" w:rsidRPr="004A5F5F" w:rsidRDefault="00BB07F3" w:rsidP="004A5F5F">
      <w:pPr>
        <w:spacing w:line="480" w:lineRule="auto"/>
        <w:ind w:firstLine="708"/>
        <w:rPr>
          <w:sz w:val="22"/>
          <w:szCs w:val="22"/>
          <w:lang w:val="en-US"/>
        </w:rPr>
      </w:pPr>
      <w:r w:rsidRPr="004A5F5F">
        <w:rPr>
          <w:sz w:val="22"/>
          <w:szCs w:val="22"/>
          <w:lang w:val="en-US"/>
        </w:rPr>
        <w:t>In 2006, participants were adolescents aged 12 to 18 years who had been under treatment at the Erasmus MC – Sophia’s Children’s Hospital Rotterdam for more than three years</w:t>
      </w:r>
      <w:r w:rsidR="001D2E9B" w:rsidRPr="004A5F5F">
        <w:rPr>
          <w:sz w:val="22"/>
          <w:szCs w:val="22"/>
          <w:lang w:val="en-US"/>
        </w:rPr>
        <w:t xml:space="preserve">. They had a variety of chronic physical </w:t>
      </w:r>
      <w:r w:rsidRPr="004A5F5F">
        <w:rPr>
          <w:sz w:val="22"/>
          <w:szCs w:val="22"/>
          <w:lang w:val="en-US"/>
        </w:rPr>
        <w:t xml:space="preserve">conditions. Those with intellectual disabilities were excluded. In 2012, contact addresses and death notices were retrieved from the hospital’s electronic patient records. Eligible young adults were sent a patient information letter and a unique password to log in on a secured website. Included was a postcard on which they could state they did not want to participate. </w:t>
      </w:r>
      <w:r w:rsidRPr="004A5F5F">
        <w:rPr>
          <w:sz w:val="22"/>
          <w:szCs w:val="22"/>
          <w:lang w:val="en-US"/>
        </w:rPr>
        <w:lastRenderedPageBreak/>
        <w:t>Those who did not respond within one month were sent a reminder by mail. After another month, non-responders were reminded through a phone call. Respondents were entered in a lottery to win one of twenty-five cookbooks, two smart phones, or an iPad provided by local suppliers. The Erasmus MC medical ethical review board approved the study (MEC 2012-022) and all data was processed anonymously. Participants electronically provided consent for their participation in the study.</w:t>
      </w:r>
    </w:p>
    <w:p w:rsidR="00BB07F3" w:rsidRPr="004A5F5F" w:rsidRDefault="00BB07F3" w:rsidP="004A5F5F">
      <w:pPr>
        <w:spacing w:line="480" w:lineRule="auto"/>
        <w:outlineLvl w:val="0"/>
        <w:rPr>
          <w:i/>
          <w:sz w:val="22"/>
          <w:szCs w:val="22"/>
          <w:lang w:val="en-US"/>
        </w:rPr>
      </w:pPr>
    </w:p>
    <w:p w:rsidR="00692032" w:rsidRPr="004A5F5F" w:rsidRDefault="00BB07F3" w:rsidP="004A5F5F">
      <w:pPr>
        <w:spacing w:line="480" w:lineRule="auto"/>
        <w:outlineLvl w:val="0"/>
        <w:rPr>
          <w:b/>
          <w:sz w:val="22"/>
          <w:szCs w:val="22"/>
          <w:lang w:val="en-GB"/>
        </w:rPr>
      </w:pPr>
      <w:r w:rsidRPr="004A5F5F">
        <w:rPr>
          <w:b/>
          <w:sz w:val="22"/>
          <w:szCs w:val="22"/>
          <w:lang w:val="en-GB"/>
        </w:rPr>
        <w:t>Measures and study outcomes</w:t>
      </w:r>
    </w:p>
    <w:p w:rsidR="00BB07F3" w:rsidRPr="004A5F5F" w:rsidRDefault="00BB07F3" w:rsidP="004A5F5F">
      <w:pPr>
        <w:spacing w:line="480" w:lineRule="auto"/>
        <w:rPr>
          <w:sz w:val="22"/>
          <w:szCs w:val="22"/>
          <w:u w:val="single"/>
          <w:lang w:val="en-US"/>
        </w:rPr>
      </w:pPr>
      <w:r w:rsidRPr="004A5F5F">
        <w:rPr>
          <w:sz w:val="22"/>
          <w:szCs w:val="22"/>
          <w:u w:val="single"/>
          <w:lang w:val="en-US"/>
        </w:rPr>
        <w:t xml:space="preserve">Main outcome </w:t>
      </w:r>
    </w:p>
    <w:p w:rsidR="00692032" w:rsidRPr="004A5F5F" w:rsidRDefault="00BB07F3" w:rsidP="004A5F5F">
      <w:pPr>
        <w:spacing w:line="480" w:lineRule="auto"/>
        <w:rPr>
          <w:sz w:val="22"/>
          <w:szCs w:val="22"/>
          <w:u w:val="single"/>
          <w:lang w:val="en-GB"/>
        </w:rPr>
      </w:pPr>
      <w:r w:rsidRPr="004A5F5F">
        <w:rPr>
          <w:i/>
          <w:sz w:val="22"/>
          <w:szCs w:val="22"/>
          <w:lang w:val="en-US"/>
        </w:rPr>
        <w:t>Di</w:t>
      </w:r>
      <w:r w:rsidRPr="004A5F5F">
        <w:rPr>
          <w:i/>
          <w:sz w:val="22"/>
          <w:szCs w:val="22"/>
          <w:lang w:val="en-GB"/>
        </w:rPr>
        <w:t>sability benefit claim</w:t>
      </w:r>
      <w:r w:rsidRPr="004A5F5F">
        <w:rPr>
          <w:b/>
          <w:sz w:val="22"/>
          <w:szCs w:val="22"/>
          <w:lang w:val="en-GB"/>
        </w:rPr>
        <w:t xml:space="preserve">. </w:t>
      </w:r>
      <w:r w:rsidRPr="004A5F5F">
        <w:rPr>
          <w:sz w:val="22"/>
          <w:szCs w:val="22"/>
          <w:lang w:val="en-GB"/>
        </w:rPr>
        <w:t xml:space="preserve">At T1, respondents were asked if they were benefit recipients within the framework of the </w:t>
      </w:r>
      <w:r w:rsidRPr="004A5F5F">
        <w:rPr>
          <w:iCs/>
          <w:sz w:val="22"/>
          <w:szCs w:val="22"/>
          <w:lang w:val="en-GB"/>
        </w:rPr>
        <w:t>Wajong Act</w:t>
      </w:r>
      <w:r w:rsidR="00CE1C52" w:rsidRPr="004A5F5F">
        <w:rPr>
          <w:sz w:val="22"/>
          <w:szCs w:val="22"/>
          <w:lang w:val="en-GB"/>
        </w:rPr>
        <w:t xml:space="preserve"> (1= yes;</w:t>
      </w:r>
      <w:r w:rsidRPr="004A5F5F">
        <w:rPr>
          <w:sz w:val="22"/>
          <w:szCs w:val="22"/>
          <w:lang w:val="en-GB"/>
        </w:rPr>
        <w:t xml:space="preserve"> 2 = no) </w:t>
      </w:r>
      <w:r w:rsidR="0021765C">
        <w:rPr>
          <w:noProof/>
          <w:sz w:val="22"/>
          <w:szCs w:val="22"/>
          <w:lang w:val="en-GB"/>
        </w:rPr>
        <w:t>[</w:t>
      </w:r>
      <w:r w:rsidRPr="004A5F5F">
        <w:rPr>
          <w:noProof/>
          <w:sz w:val="22"/>
          <w:szCs w:val="22"/>
          <w:lang w:val="en-GB"/>
        </w:rPr>
        <w:t>1</w:t>
      </w:r>
      <w:r w:rsidR="00AC0412" w:rsidRPr="004A5F5F">
        <w:rPr>
          <w:noProof/>
          <w:sz w:val="22"/>
          <w:szCs w:val="22"/>
          <w:lang w:val="en-GB"/>
        </w:rPr>
        <w:t>6</w:t>
      </w:r>
      <w:r w:rsidR="00AF4BF2">
        <w:rPr>
          <w:noProof/>
          <w:sz w:val="22"/>
          <w:szCs w:val="22"/>
          <w:lang w:val="en-GB"/>
        </w:rPr>
        <w:t>]</w:t>
      </w:r>
      <w:r w:rsidRPr="004A5F5F">
        <w:rPr>
          <w:sz w:val="22"/>
          <w:szCs w:val="22"/>
          <w:lang w:val="en-GB"/>
        </w:rPr>
        <w:t>.</w:t>
      </w:r>
      <w:r w:rsidRPr="004A5F5F">
        <w:rPr>
          <w:sz w:val="22"/>
          <w:szCs w:val="22"/>
          <w:u w:val="single"/>
          <w:lang w:val="en-GB"/>
        </w:rPr>
        <w:t xml:space="preserve"> </w:t>
      </w:r>
    </w:p>
    <w:p w:rsidR="00FD336F" w:rsidRPr="004A5F5F" w:rsidRDefault="00FD336F" w:rsidP="004A5F5F">
      <w:pPr>
        <w:spacing w:line="480" w:lineRule="auto"/>
        <w:rPr>
          <w:sz w:val="22"/>
          <w:szCs w:val="22"/>
          <w:u w:val="single"/>
          <w:lang w:val="en-GB"/>
        </w:rPr>
      </w:pPr>
    </w:p>
    <w:p w:rsidR="00BB07F3" w:rsidRPr="004A5F5F" w:rsidRDefault="00BB07F3" w:rsidP="004A5F5F">
      <w:pPr>
        <w:spacing w:line="480" w:lineRule="auto"/>
        <w:outlineLvl w:val="0"/>
        <w:rPr>
          <w:sz w:val="22"/>
          <w:szCs w:val="22"/>
          <w:u w:val="single"/>
          <w:lang w:val="en-GB"/>
        </w:rPr>
      </w:pPr>
      <w:r w:rsidRPr="004A5F5F">
        <w:rPr>
          <w:sz w:val="22"/>
          <w:szCs w:val="22"/>
          <w:u w:val="single"/>
          <w:lang w:val="en-GB"/>
        </w:rPr>
        <w:t xml:space="preserve">Independent variables </w:t>
      </w:r>
    </w:p>
    <w:p w:rsidR="00BB07F3" w:rsidRPr="004A5F5F" w:rsidRDefault="00BB07F3" w:rsidP="004A5F5F">
      <w:pPr>
        <w:spacing w:line="480" w:lineRule="auto"/>
        <w:outlineLvl w:val="0"/>
        <w:rPr>
          <w:sz w:val="22"/>
          <w:szCs w:val="22"/>
          <w:lang w:val="en-GB"/>
        </w:rPr>
      </w:pPr>
      <w:r w:rsidRPr="004A5F5F">
        <w:rPr>
          <w:i/>
          <w:sz w:val="22"/>
          <w:szCs w:val="22"/>
          <w:lang w:val="en-GB"/>
        </w:rPr>
        <w:t xml:space="preserve">Background characteristics. </w:t>
      </w:r>
      <w:r w:rsidRPr="004A5F5F">
        <w:rPr>
          <w:sz w:val="22"/>
          <w:szCs w:val="22"/>
          <w:lang w:val="en-GB"/>
        </w:rPr>
        <w:t>Age, medical diagnosis (classified according to International Statistical Classification of Diseases and Related Health Problems [ICD-10]), educational level (1 = low or medium (primary school, secondary general vocation or lower vocational education); 2 = high (higher educational institutions or university)), and type of education followed in the past (1=mainstream; 2=special education) were recorded at both T0 and T1, while data from the T0 questionnaire served to establish gender (1 = female; 2 = male), and age at onset of the chronic condition (1 = congenital; 2 = 1-5 years; 3 = 6-12; 4 = &gt;12 years). The extent of physical disability had been measured at T0 using ten items scored on a 4-point Likert scale (1 = no physical limitations</w:t>
      </w:r>
      <w:r w:rsidR="00CE1C52" w:rsidRPr="004A5F5F">
        <w:rPr>
          <w:sz w:val="22"/>
          <w:szCs w:val="22"/>
          <w:lang w:val="en-GB"/>
        </w:rPr>
        <w:t>;</w:t>
      </w:r>
      <w:r w:rsidRPr="004A5F5F">
        <w:rPr>
          <w:sz w:val="22"/>
          <w:szCs w:val="22"/>
          <w:lang w:val="en-GB"/>
        </w:rPr>
        <w:t xml:space="preserve"> 2= some difficulty; 3 = with great difficulty; 4= I cannot do it)</w:t>
      </w:r>
      <w:r w:rsidR="00944BAF">
        <w:rPr>
          <w:sz w:val="22"/>
          <w:szCs w:val="22"/>
          <w:lang w:val="en-GB"/>
        </w:rPr>
        <w:t xml:space="preserve"> </w:t>
      </w:r>
      <w:r w:rsidR="00944BAF">
        <w:rPr>
          <w:noProof/>
          <w:sz w:val="22"/>
          <w:szCs w:val="22"/>
          <w:lang w:val="en-GB"/>
        </w:rPr>
        <w:t>[</w:t>
      </w:r>
      <w:r w:rsidR="00944BAF" w:rsidRPr="004A5F5F">
        <w:rPr>
          <w:noProof/>
          <w:sz w:val="22"/>
          <w:szCs w:val="22"/>
          <w:lang w:val="en-GB"/>
        </w:rPr>
        <w:t>23</w:t>
      </w:r>
      <w:r w:rsidR="00944BAF">
        <w:rPr>
          <w:noProof/>
          <w:sz w:val="22"/>
          <w:szCs w:val="22"/>
          <w:lang w:val="en-GB"/>
        </w:rPr>
        <w:t>]</w:t>
      </w:r>
      <w:r w:rsidRPr="004A5F5F">
        <w:rPr>
          <w:sz w:val="22"/>
          <w:szCs w:val="22"/>
          <w:lang w:val="en-GB"/>
        </w:rPr>
        <w:t xml:space="preserve">. A total score was computed by summing the scores (Cronbach’s alpha = .91) </w:t>
      </w:r>
      <w:r w:rsidR="0021765C">
        <w:rPr>
          <w:noProof/>
          <w:sz w:val="22"/>
          <w:szCs w:val="22"/>
          <w:lang w:val="en-GB"/>
        </w:rPr>
        <w:t>[</w:t>
      </w:r>
      <w:r w:rsidRPr="004A5F5F">
        <w:rPr>
          <w:noProof/>
          <w:sz w:val="22"/>
          <w:szCs w:val="22"/>
          <w:lang w:val="en-GB"/>
        </w:rPr>
        <w:t>2</w:t>
      </w:r>
      <w:r w:rsidR="00AC0412" w:rsidRPr="004A5F5F">
        <w:rPr>
          <w:noProof/>
          <w:sz w:val="22"/>
          <w:szCs w:val="22"/>
          <w:lang w:val="en-GB"/>
        </w:rPr>
        <w:t>3</w:t>
      </w:r>
      <w:r w:rsidR="00AF4BF2">
        <w:rPr>
          <w:noProof/>
          <w:sz w:val="22"/>
          <w:szCs w:val="22"/>
          <w:lang w:val="en-GB"/>
        </w:rPr>
        <w:t>]</w:t>
      </w:r>
      <w:r w:rsidRPr="004A5F5F">
        <w:rPr>
          <w:sz w:val="22"/>
          <w:szCs w:val="22"/>
          <w:lang w:val="en-GB"/>
        </w:rPr>
        <w:t>.</w:t>
      </w:r>
      <w:r w:rsidR="00187EC6">
        <w:rPr>
          <w:sz w:val="22"/>
          <w:szCs w:val="22"/>
          <w:lang w:val="en-GB"/>
        </w:rPr>
        <w:t xml:space="preserve"> </w:t>
      </w:r>
      <w:r w:rsidR="003D3CEF">
        <w:rPr>
          <w:sz w:val="22"/>
          <w:szCs w:val="22"/>
          <w:lang w:val="en-GB"/>
        </w:rPr>
        <w:t xml:space="preserve">At T0, </w:t>
      </w:r>
      <w:r w:rsidR="003D3CEF" w:rsidRPr="00697AF1">
        <w:rPr>
          <w:color w:val="FF0000"/>
          <w:sz w:val="22"/>
          <w:szCs w:val="22"/>
          <w:lang w:val="en-GB"/>
        </w:rPr>
        <w:t>d</w:t>
      </w:r>
      <w:r w:rsidR="006A1595" w:rsidRPr="00697AF1">
        <w:rPr>
          <w:color w:val="FF0000"/>
          <w:sz w:val="22"/>
          <w:szCs w:val="22"/>
          <w:lang w:val="en-GB"/>
        </w:rPr>
        <w:t>ata on medical diagnosis and onset of the chronic condition w</w:t>
      </w:r>
      <w:r w:rsidR="003D3CEF" w:rsidRPr="00697AF1">
        <w:rPr>
          <w:color w:val="FF0000"/>
          <w:sz w:val="22"/>
          <w:szCs w:val="22"/>
          <w:lang w:val="en-GB"/>
        </w:rPr>
        <w:t>as</w:t>
      </w:r>
      <w:r w:rsidR="006A1595" w:rsidRPr="00697AF1">
        <w:rPr>
          <w:color w:val="FF0000"/>
          <w:sz w:val="22"/>
          <w:szCs w:val="22"/>
          <w:lang w:val="en-GB"/>
        </w:rPr>
        <w:t xml:space="preserve"> verified in patients’ medical </w:t>
      </w:r>
      <w:r w:rsidR="00F00B1D" w:rsidRPr="00697AF1">
        <w:rPr>
          <w:color w:val="FF0000"/>
          <w:sz w:val="22"/>
          <w:szCs w:val="22"/>
          <w:lang w:val="en-GB"/>
        </w:rPr>
        <w:t>records</w:t>
      </w:r>
      <w:r w:rsidR="006A1595" w:rsidRPr="00697AF1">
        <w:rPr>
          <w:color w:val="FF0000"/>
          <w:sz w:val="22"/>
          <w:szCs w:val="22"/>
          <w:lang w:val="en-GB"/>
        </w:rPr>
        <w:t>.</w:t>
      </w:r>
    </w:p>
    <w:p w:rsidR="00BB07F3" w:rsidRPr="004A5F5F" w:rsidRDefault="00BB07F3" w:rsidP="004A5F5F">
      <w:pPr>
        <w:spacing w:line="480" w:lineRule="auto"/>
        <w:ind w:firstLine="708"/>
        <w:outlineLvl w:val="0"/>
        <w:rPr>
          <w:sz w:val="22"/>
          <w:szCs w:val="22"/>
          <w:lang w:val="en-GB"/>
        </w:rPr>
      </w:pPr>
      <w:r w:rsidRPr="004A5F5F">
        <w:rPr>
          <w:i/>
          <w:sz w:val="22"/>
          <w:szCs w:val="22"/>
          <w:lang w:val="en-GB"/>
        </w:rPr>
        <w:t>Self-management</w:t>
      </w:r>
      <w:r w:rsidR="003D3CEF">
        <w:rPr>
          <w:i/>
          <w:sz w:val="22"/>
          <w:szCs w:val="22"/>
          <w:lang w:val="en-GB"/>
        </w:rPr>
        <w:t>,</w:t>
      </w:r>
      <w:r w:rsidRPr="004A5F5F">
        <w:rPr>
          <w:b/>
          <w:sz w:val="22"/>
          <w:szCs w:val="22"/>
          <w:lang w:val="en-GB"/>
        </w:rPr>
        <w:t xml:space="preserve"> </w:t>
      </w:r>
      <w:r w:rsidRPr="004A5F5F">
        <w:rPr>
          <w:iCs/>
          <w:sz w:val="22"/>
          <w:szCs w:val="22"/>
          <w:lang w:val="en-GB"/>
        </w:rPr>
        <w:t xml:space="preserve">as reflected by </w:t>
      </w:r>
      <w:r w:rsidRPr="004A5F5F">
        <w:rPr>
          <w:sz w:val="22"/>
          <w:szCs w:val="22"/>
          <w:lang w:val="en-GB"/>
        </w:rPr>
        <w:t>disease-related self-efficacy</w:t>
      </w:r>
      <w:r w:rsidR="003D3CEF">
        <w:rPr>
          <w:sz w:val="22"/>
          <w:szCs w:val="22"/>
          <w:lang w:val="en-GB"/>
        </w:rPr>
        <w:t>,</w:t>
      </w:r>
      <w:r w:rsidRPr="004A5F5F">
        <w:rPr>
          <w:sz w:val="22"/>
          <w:szCs w:val="22"/>
          <w:lang w:val="en-GB"/>
        </w:rPr>
        <w:t xml:space="preserve"> was measured at T0 with the On Your Own Feet Self-Efficacy Scale (OYOF-SES) using a 4-point Likert scale (from 1=‘no, definitely not’ to 4=‘yes certainly’) </w:t>
      </w:r>
      <w:r w:rsidR="0021765C">
        <w:rPr>
          <w:noProof/>
          <w:sz w:val="22"/>
          <w:szCs w:val="22"/>
          <w:lang w:val="en-GB"/>
        </w:rPr>
        <w:t>[</w:t>
      </w:r>
      <w:r w:rsidRPr="004A5F5F">
        <w:rPr>
          <w:noProof/>
          <w:sz w:val="22"/>
          <w:szCs w:val="22"/>
          <w:lang w:val="en-GB"/>
        </w:rPr>
        <w:t>2</w:t>
      </w:r>
      <w:r w:rsidR="00AC0412" w:rsidRPr="004A5F5F">
        <w:rPr>
          <w:noProof/>
          <w:sz w:val="22"/>
          <w:szCs w:val="22"/>
          <w:lang w:val="en-GB"/>
        </w:rPr>
        <w:t>4</w:t>
      </w:r>
      <w:r w:rsidR="00AF4BF2">
        <w:rPr>
          <w:noProof/>
          <w:sz w:val="22"/>
          <w:szCs w:val="22"/>
          <w:lang w:val="en-GB"/>
        </w:rPr>
        <w:t>]</w:t>
      </w:r>
      <w:r w:rsidRPr="004A5F5F">
        <w:rPr>
          <w:sz w:val="22"/>
          <w:szCs w:val="22"/>
          <w:lang w:val="en-GB"/>
        </w:rPr>
        <w:t xml:space="preserve">. The OYOF-SES consists of three domains: coping with the condition (four items, Cronbach’s alpha = .82), knowledge about the condition (six items, Cronbach’s alpha = .78) and competencies during consultations (six items, Cronbach’s alpha = .85). </w:t>
      </w:r>
    </w:p>
    <w:p w:rsidR="00BB07F3" w:rsidRPr="004A5F5F" w:rsidRDefault="00BB07F3" w:rsidP="004A5F5F">
      <w:pPr>
        <w:spacing w:line="480" w:lineRule="auto"/>
        <w:ind w:firstLine="708"/>
        <w:rPr>
          <w:i/>
          <w:sz w:val="22"/>
          <w:szCs w:val="22"/>
          <w:lang w:val="en-US"/>
        </w:rPr>
      </w:pPr>
      <w:r w:rsidRPr="004A5F5F">
        <w:rPr>
          <w:i/>
          <w:iCs/>
          <w:sz w:val="22"/>
          <w:szCs w:val="22"/>
          <w:lang w:val="en-GB"/>
        </w:rPr>
        <w:lastRenderedPageBreak/>
        <w:t>Perceived impact of the condition</w:t>
      </w:r>
      <w:r w:rsidRPr="004A5F5F">
        <w:rPr>
          <w:b/>
          <w:iCs/>
          <w:sz w:val="22"/>
          <w:szCs w:val="22"/>
          <w:lang w:val="en-GB"/>
        </w:rPr>
        <w:t xml:space="preserve"> </w:t>
      </w:r>
      <w:r w:rsidRPr="004A5F5F">
        <w:rPr>
          <w:iCs/>
          <w:sz w:val="22"/>
          <w:szCs w:val="22"/>
          <w:lang w:val="en-GB"/>
        </w:rPr>
        <w:t>was measured at T0 in different ways.</w:t>
      </w:r>
      <w:r w:rsidRPr="004A5F5F">
        <w:rPr>
          <w:i/>
          <w:iCs/>
          <w:sz w:val="22"/>
          <w:szCs w:val="22"/>
          <w:lang w:val="en-GB"/>
        </w:rPr>
        <w:t xml:space="preserve"> </w:t>
      </w:r>
      <w:r w:rsidRPr="004A5F5F">
        <w:rPr>
          <w:iCs/>
          <w:sz w:val="22"/>
          <w:szCs w:val="22"/>
          <w:lang w:val="en-GB"/>
        </w:rPr>
        <w:t>A</w:t>
      </w:r>
      <w:r w:rsidRPr="004A5F5F">
        <w:rPr>
          <w:sz w:val="22"/>
          <w:szCs w:val="22"/>
          <w:lang w:val="en-GB"/>
        </w:rPr>
        <w:t xml:space="preserve">dolescents reported the visibility of their chronic </w:t>
      </w:r>
      <w:r w:rsidR="00670550" w:rsidRPr="004A5F5F">
        <w:rPr>
          <w:sz w:val="22"/>
          <w:szCs w:val="22"/>
          <w:lang w:val="en-GB"/>
        </w:rPr>
        <w:t xml:space="preserve">physical </w:t>
      </w:r>
      <w:r w:rsidRPr="004A5F5F">
        <w:rPr>
          <w:sz w:val="22"/>
          <w:szCs w:val="22"/>
          <w:lang w:val="en-GB"/>
        </w:rPr>
        <w:t xml:space="preserve">condition and </w:t>
      </w:r>
      <w:r w:rsidRPr="004A5F5F">
        <w:rPr>
          <w:iCs/>
          <w:sz w:val="22"/>
          <w:szCs w:val="22"/>
          <w:lang w:val="en-GB"/>
        </w:rPr>
        <w:t xml:space="preserve">absenteeism at school or work </w:t>
      </w:r>
      <w:r w:rsidRPr="004A5F5F">
        <w:rPr>
          <w:sz w:val="22"/>
          <w:szCs w:val="22"/>
          <w:lang w:val="en-GB"/>
        </w:rPr>
        <w:t xml:space="preserve">due to their condition using 3-point Likert scales (both 1 = never; 2 = sometimes; 3 = frequently to always). The experienced burden of visibility of the chronic </w:t>
      </w:r>
      <w:r w:rsidR="00670550" w:rsidRPr="004A5F5F">
        <w:rPr>
          <w:sz w:val="22"/>
          <w:szCs w:val="22"/>
          <w:lang w:val="en-GB"/>
        </w:rPr>
        <w:t xml:space="preserve">physical </w:t>
      </w:r>
      <w:r w:rsidRPr="004A5F5F">
        <w:rPr>
          <w:sz w:val="22"/>
          <w:szCs w:val="22"/>
          <w:lang w:val="en-GB"/>
        </w:rPr>
        <w:t>condition was measured using two items scored on a 5-point Likert scale (1 = no burden at all</w:t>
      </w:r>
      <w:r w:rsidR="00CE1C52" w:rsidRPr="004A5F5F">
        <w:rPr>
          <w:sz w:val="22"/>
          <w:szCs w:val="22"/>
          <w:lang w:val="en-GB"/>
        </w:rPr>
        <w:t xml:space="preserve">; </w:t>
      </w:r>
      <w:r w:rsidRPr="004A5F5F">
        <w:rPr>
          <w:sz w:val="22"/>
          <w:szCs w:val="22"/>
          <w:lang w:val="en-GB"/>
        </w:rPr>
        <w:t>2 = no burden</w:t>
      </w:r>
      <w:r w:rsidR="00CE1C52" w:rsidRPr="004A5F5F">
        <w:rPr>
          <w:sz w:val="22"/>
          <w:szCs w:val="22"/>
          <w:lang w:val="en-GB"/>
        </w:rPr>
        <w:t>;</w:t>
      </w:r>
      <w:r w:rsidRPr="004A5F5F">
        <w:rPr>
          <w:sz w:val="22"/>
          <w:szCs w:val="22"/>
          <w:lang w:val="en-GB"/>
        </w:rPr>
        <w:t xml:space="preserve"> 3 = little burden</w:t>
      </w:r>
      <w:r w:rsidR="00CE1C52" w:rsidRPr="004A5F5F">
        <w:rPr>
          <w:sz w:val="22"/>
          <w:szCs w:val="22"/>
          <w:lang w:val="en-GB"/>
        </w:rPr>
        <w:t>;</w:t>
      </w:r>
      <w:r w:rsidRPr="004A5F5F">
        <w:rPr>
          <w:sz w:val="22"/>
          <w:szCs w:val="22"/>
          <w:lang w:val="en-GB"/>
        </w:rPr>
        <w:t xml:space="preserve"> 4 = burden</w:t>
      </w:r>
      <w:r w:rsidR="00CE1C52" w:rsidRPr="004A5F5F">
        <w:rPr>
          <w:sz w:val="22"/>
          <w:szCs w:val="22"/>
          <w:lang w:val="en-GB"/>
        </w:rPr>
        <w:t>;</w:t>
      </w:r>
      <w:r w:rsidRPr="004A5F5F">
        <w:rPr>
          <w:sz w:val="22"/>
          <w:szCs w:val="22"/>
          <w:lang w:val="en-GB"/>
        </w:rPr>
        <w:t xml:space="preserve"> 5 = much burden). These two items were summed up (Cronbach’s alpha = .80). The self-report short form measure of DISABKIDS questionnaire (DCGM-10) was used to assess </w:t>
      </w:r>
      <w:r w:rsidRPr="004A5F5F">
        <w:rPr>
          <w:sz w:val="22"/>
          <w:szCs w:val="22"/>
          <w:u w:val="single"/>
          <w:lang w:val="en-GB"/>
        </w:rPr>
        <w:t>HRQoL</w:t>
      </w:r>
      <w:r w:rsidRPr="004A5F5F">
        <w:rPr>
          <w:sz w:val="22"/>
          <w:szCs w:val="22"/>
          <w:lang w:val="en-GB"/>
        </w:rPr>
        <w:t xml:space="preserve"> at T0 (Cronbach’s alpha = .80) </w:t>
      </w:r>
      <w:r w:rsidR="0021765C">
        <w:rPr>
          <w:noProof/>
          <w:sz w:val="22"/>
          <w:szCs w:val="22"/>
          <w:lang w:val="en-GB"/>
        </w:rPr>
        <w:t>[</w:t>
      </w:r>
      <w:r w:rsidRPr="004A5F5F">
        <w:rPr>
          <w:noProof/>
          <w:sz w:val="22"/>
          <w:szCs w:val="22"/>
          <w:lang w:val="en-GB"/>
        </w:rPr>
        <w:t>2</w:t>
      </w:r>
      <w:r w:rsidR="00AC0412" w:rsidRPr="004A5F5F">
        <w:rPr>
          <w:noProof/>
          <w:sz w:val="22"/>
          <w:szCs w:val="22"/>
          <w:lang w:val="en-GB"/>
        </w:rPr>
        <w:t>5</w:t>
      </w:r>
      <w:r w:rsidR="00AF4BF2">
        <w:rPr>
          <w:noProof/>
          <w:sz w:val="22"/>
          <w:szCs w:val="22"/>
          <w:lang w:val="en-GB"/>
        </w:rPr>
        <w:t>]</w:t>
      </w:r>
      <w:r w:rsidRPr="004A5F5F">
        <w:rPr>
          <w:sz w:val="22"/>
          <w:szCs w:val="22"/>
          <w:lang w:val="en-GB"/>
        </w:rPr>
        <w:t>.</w:t>
      </w:r>
      <w:r w:rsidRPr="004A5F5F">
        <w:rPr>
          <w:i/>
          <w:sz w:val="22"/>
          <w:szCs w:val="22"/>
          <w:lang w:val="en-US"/>
        </w:rPr>
        <w:t xml:space="preserve"> </w:t>
      </w:r>
    </w:p>
    <w:p w:rsidR="00FD0990" w:rsidRPr="004A5F5F" w:rsidRDefault="00FD0990" w:rsidP="004A5F5F">
      <w:pPr>
        <w:spacing w:line="480" w:lineRule="auto"/>
        <w:rPr>
          <w:i/>
          <w:sz w:val="22"/>
          <w:szCs w:val="22"/>
          <w:lang w:val="en-US"/>
        </w:rPr>
      </w:pPr>
    </w:p>
    <w:p w:rsidR="00BB07F3" w:rsidRPr="004A5F5F" w:rsidRDefault="00BB07F3" w:rsidP="004A5F5F">
      <w:pPr>
        <w:spacing w:line="480" w:lineRule="auto"/>
        <w:rPr>
          <w:sz w:val="22"/>
          <w:szCs w:val="22"/>
          <w:u w:val="single"/>
          <w:lang w:val="en-US"/>
        </w:rPr>
      </w:pPr>
      <w:r w:rsidRPr="004A5F5F">
        <w:rPr>
          <w:sz w:val="22"/>
          <w:szCs w:val="22"/>
          <w:u w:val="single"/>
          <w:lang w:val="en-US"/>
        </w:rPr>
        <w:t>Outcome measures at T1</w:t>
      </w:r>
    </w:p>
    <w:p w:rsidR="00BB07F3" w:rsidRPr="004A5F5F" w:rsidRDefault="00BB07F3" w:rsidP="004A5F5F">
      <w:pPr>
        <w:spacing w:line="480" w:lineRule="auto"/>
        <w:rPr>
          <w:sz w:val="22"/>
          <w:szCs w:val="22"/>
          <w:lang w:val="en-GB"/>
        </w:rPr>
      </w:pPr>
      <w:r w:rsidRPr="004A5F5F">
        <w:rPr>
          <w:i/>
          <w:sz w:val="22"/>
          <w:szCs w:val="22"/>
          <w:lang w:val="en-US"/>
        </w:rPr>
        <w:t>L</w:t>
      </w:r>
      <w:r w:rsidRPr="004A5F5F">
        <w:rPr>
          <w:i/>
          <w:sz w:val="22"/>
          <w:szCs w:val="22"/>
          <w:lang w:val="en-GB"/>
        </w:rPr>
        <w:t>evel of autonomy in social participation</w:t>
      </w:r>
      <w:r w:rsidRPr="004A5F5F">
        <w:rPr>
          <w:sz w:val="22"/>
          <w:szCs w:val="22"/>
          <w:lang w:val="en-GB"/>
        </w:rPr>
        <w:t xml:space="preserve"> was classified using the Rotterdam Transition Profile (RTP) </w:t>
      </w:r>
      <w:r w:rsidR="0021765C">
        <w:rPr>
          <w:noProof/>
          <w:sz w:val="22"/>
          <w:szCs w:val="22"/>
          <w:lang w:val="en-GB"/>
        </w:rPr>
        <w:t>[</w:t>
      </w:r>
      <w:r w:rsidRPr="004A5F5F">
        <w:rPr>
          <w:noProof/>
          <w:sz w:val="22"/>
          <w:szCs w:val="22"/>
          <w:lang w:val="en-GB"/>
        </w:rPr>
        <w:t>2</w:t>
      </w:r>
      <w:r w:rsidR="00AC0412" w:rsidRPr="004A5F5F">
        <w:rPr>
          <w:noProof/>
          <w:sz w:val="22"/>
          <w:szCs w:val="22"/>
          <w:lang w:val="en-GB"/>
        </w:rPr>
        <w:t>6</w:t>
      </w:r>
      <w:r w:rsidR="00AF4BF2">
        <w:rPr>
          <w:noProof/>
          <w:sz w:val="22"/>
          <w:szCs w:val="22"/>
          <w:lang w:val="en-GB"/>
        </w:rPr>
        <w:t>]</w:t>
      </w:r>
      <w:r w:rsidRPr="004A5F5F">
        <w:rPr>
          <w:sz w:val="22"/>
          <w:szCs w:val="22"/>
          <w:lang w:val="en-GB"/>
        </w:rPr>
        <w:t>. The RTP describes participation in seven life areas defined in the</w:t>
      </w:r>
    </w:p>
    <w:p w:rsidR="00BB07F3" w:rsidRPr="004A5F5F" w:rsidRDefault="00BB07F3" w:rsidP="004A5F5F">
      <w:pPr>
        <w:spacing w:line="480" w:lineRule="auto"/>
        <w:rPr>
          <w:sz w:val="22"/>
          <w:szCs w:val="22"/>
          <w:lang w:val="en-GB"/>
        </w:rPr>
      </w:pPr>
      <w:r w:rsidRPr="004A5F5F">
        <w:rPr>
          <w:sz w:val="22"/>
          <w:szCs w:val="22"/>
          <w:lang w:val="en-GB"/>
        </w:rPr>
        <w:t>International Classification of Functioning, Disability, and Health: 1) Finances; 2) Employment and education; 3) Housing; 4) Intimate relationships; 5) Sexuality; 6) Transportation; and 7) Leisure. It distinguishes four transition phases (0-3). Young persons in phases 0 and 1 are still fully dependent on adults (e.g. parents) or display typical child behaviour. Young persons in phase 2 experiment with or orient to adult behaviour. Phase 3 refers to full autonomy in participation. Because we were interested in a successful transition to adulthood, we dichotomised the phases as follows: 0 = phases 0-2</w:t>
      </w:r>
      <w:r w:rsidR="00CE1C52" w:rsidRPr="004A5F5F">
        <w:rPr>
          <w:sz w:val="22"/>
          <w:szCs w:val="22"/>
          <w:lang w:val="en-GB"/>
        </w:rPr>
        <w:t xml:space="preserve">; </w:t>
      </w:r>
      <w:r w:rsidRPr="004A5F5F">
        <w:rPr>
          <w:sz w:val="22"/>
          <w:szCs w:val="22"/>
          <w:lang w:val="en-GB"/>
        </w:rPr>
        <w:t xml:space="preserve">1 = phase 3 </w:t>
      </w:r>
      <w:r w:rsidR="0021765C">
        <w:rPr>
          <w:noProof/>
          <w:sz w:val="22"/>
          <w:szCs w:val="22"/>
          <w:lang w:val="en-GB"/>
        </w:rPr>
        <w:t>[</w:t>
      </w:r>
      <w:r w:rsidR="00CE1C52" w:rsidRPr="004A5F5F">
        <w:rPr>
          <w:noProof/>
          <w:sz w:val="22"/>
          <w:szCs w:val="22"/>
          <w:lang w:val="en-GB"/>
        </w:rPr>
        <w:t>2</w:t>
      </w:r>
      <w:r w:rsidR="00AC0412" w:rsidRPr="004A5F5F">
        <w:rPr>
          <w:noProof/>
          <w:sz w:val="22"/>
          <w:szCs w:val="22"/>
          <w:lang w:val="en-GB"/>
        </w:rPr>
        <w:t>2</w:t>
      </w:r>
      <w:r w:rsidR="00AF4BF2">
        <w:rPr>
          <w:noProof/>
          <w:sz w:val="22"/>
          <w:szCs w:val="22"/>
          <w:lang w:val="en-GB"/>
        </w:rPr>
        <w:t>]</w:t>
      </w:r>
      <w:r w:rsidRPr="004A5F5F">
        <w:rPr>
          <w:sz w:val="22"/>
          <w:szCs w:val="22"/>
          <w:lang w:val="en-GB"/>
        </w:rPr>
        <w:t>.</w:t>
      </w:r>
      <w:r w:rsidRPr="004A5F5F">
        <w:rPr>
          <w:color w:val="FF0000"/>
          <w:sz w:val="22"/>
          <w:szCs w:val="22"/>
          <w:lang w:val="en-GB"/>
        </w:rPr>
        <w:t xml:space="preserve"> </w:t>
      </w:r>
    </w:p>
    <w:p w:rsidR="00BB07F3" w:rsidRPr="004A5F5F" w:rsidRDefault="00BB07F3" w:rsidP="004A5F5F">
      <w:pPr>
        <w:spacing w:line="480" w:lineRule="auto"/>
        <w:ind w:firstLine="708"/>
        <w:outlineLvl w:val="0"/>
        <w:rPr>
          <w:sz w:val="22"/>
          <w:szCs w:val="22"/>
          <w:lang w:val="en-GB"/>
        </w:rPr>
      </w:pPr>
      <w:r w:rsidRPr="004A5F5F">
        <w:rPr>
          <w:i/>
          <w:sz w:val="22"/>
          <w:szCs w:val="22"/>
          <w:lang w:val="en-GB"/>
        </w:rPr>
        <w:t>Perceived impact of the chronic condition on current education/vocational participation</w:t>
      </w:r>
      <w:r w:rsidRPr="004A5F5F">
        <w:rPr>
          <w:b/>
          <w:sz w:val="22"/>
          <w:szCs w:val="22"/>
          <w:lang w:val="en-GB"/>
        </w:rPr>
        <w:t xml:space="preserve"> </w:t>
      </w:r>
      <w:r w:rsidRPr="004A5F5F">
        <w:rPr>
          <w:sz w:val="22"/>
          <w:szCs w:val="22"/>
          <w:lang w:val="en-GB"/>
        </w:rPr>
        <w:t xml:space="preserve">was measured at T1 with a newly constructed 5-item scale. The items were derived from relevant literature and from interviews with young adults with chronic </w:t>
      </w:r>
      <w:r w:rsidR="001D2E9B" w:rsidRPr="004A5F5F">
        <w:rPr>
          <w:sz w:val="22"/>
          <w:szCs w:val="22"/>
          <w:lang w:val="en-GB"/>
        </w:rPr>
        <w:t xml:space="preserve">physical </w:t>
      </w:r>
      <w:r w:rsidRPr="004A5F5F">
        <w:rPr>
          <w:sz w:val="22"/>
          <w:szCs w:val="22"/>
          <w:lang w:val="en-GB"/>
        </w:rPr>
        <w:t xml:space="preserve">conditions, and are reported elsewhere </w:t>
      </w:r>
      <w:r w:rsidR="0021765C">
        <w:rPr>
          <w:sz w:val="22"/>
          <w:szCs w:val="22"/>
          <w:lang w:val="en-GB"/>
        </w:rPr>
        <w:t>[</w:t>
      </w:r>
      <w:r w:rsidRPr="004A5F5F">
        <w:rPr>
          <w:noProof/>
          <w:sz w:val="22"/>
          <w:szCs w:val="22"/>
          <w:lang w:val="en-GB"/>
        </w:rPr>
        <w:t>2</w:t>
      </w:r>
      <w:r w:rsidR="00AC0412" w:rsidRPr="004A5F5F">
        <w:rPr>
          <w:noProof/>
          <w:sz w:val="22"/>
          <w:szCs w:val="22"/>
          <w:lang w:val="en-GB"/>
        </w:rPr>
        <w:t>2</w:t>
      </w:r>
      <w:r w:rsidR="00AF4BF2">
        <w:rPr>
          <w:noProof/>
          <w:sz w:val="22"/>
          <w:szCs w:val="22"/>
          <w:lang w:val="en-GB"/>
        </w:rPr>
        <w:t>]</w:t>
      </w:r>
      <w:r w:rsidRPr="004A5F5F">
        <w:rPr>
          <w:sz w:val="22"/>
          <w:szCs w:val="22"/>
          <w:lang w:val="en-GB"/>
        </w:rPr>
        <w:t>. The impact was rated on a 5-point Likert scale (1 = totally disagree</w:t>
      </w:r>
      <w:r w:rsidR="00CE1C52" w:rsidRPr="004A5F5F">
        <w:rPr>
          <w:sz w:val="22"/>
          <w:szCs w:val="22"/>
          <w:lang w:val="en-GB"/>
        </w:rPr>
        <w:t>;</w:t>
      </w:r>
      <w:r w:rsidRPr="004A5F5F">
        <w:rPr>
          <w:sz w:val="22"/>
          <w:szCs w:val="22"/>
          <w:lang w:val="en-GB"/>
        </w:rPr>
        <w:t xml:space="preserve"> 2 = disagree</w:t>
      </w:r>
      <w:r w:rsidR="00CE1C52" w:rsidRPr="004A5F5F">
        <w:rPr>
          <w:sz w:val="22"/>
          <w:szCs w:val="22"/>
          <w:lang w:val="en-GB"/>
        </w:rPr>
        <w:t>;</w:t>
      </w:r>
      <w:r w:rsidRPr="004A5F5F">
        <w:rPr>
          <w:sz w:val="22"/>
          <w:szCs w:val="22"/>
          <w:lang w:val="en-GB"/>
        </w:rPr>
        <w:t xml:space="preserve"> 3 = neutral, 4 = agree</w:t>
      </w:r>
      <w:r w:rsidR="00CE1C52" w:rsidRPr="004A5F5F">
        <w:rPr>
          <w:sz w:val="22"/>
          <w:szCs w:val="22"/>
          <w:lang w:val="en-GB"/>
        </w:rPr>
        <w:t>;</w:t>
      </w:r>
      <w:r w:rsidRPr="004A5F5F">
        <w:rPr>
          <w:sz w:val="22"/>
          <w:szCs w:val="22"/>
          <w:lang w:val="en-GB"/>
        </w:rPr>
        <w:t xml:space="preserve"> 5 = totally agree). The items were summed (Cronbach’s alpha = .88). </w:t>
      </w:r>
    </w:p>
    <w:p w:rsidR="00BB07F3" w:rsidRDefault="00BB07F3" w:rsidP="004A5F5F">
      <w:pPr>
        <w:spacing w:line="480" w:lineRule="auto"/>
        <w:ind w:firstLine="708"/>
        <w:rPr>
          <w:sz w:val="22"/>
          <w:szCs w:val="22"/>
          <w:lang w:val="en-GB"/>
        </w:rPr>
      </w:pPr>
      <w:r w:rsidRPr="004A5F5F">
        <w:rPr>
          <w:i/>
          <w:sz w:val="22"/>
          <w:szCs w:val="22"/>
          <w:lang w:val="en-GB"/>
        </w:rPr>
        <w:t>HRQoL</w:t>
      </w:r>
      <w:r w:rsidRPr="004A5F5F">
        <w:rPr>
          <w:sz w:val="22"/>
          <w:szCs w:val="22"/>
          <w:lang w:val="en-US"/>
        </w:rPr>
        <w:t xml:space="preserve"> was assessed at T1 using the self-report DISABKIDS questionnaire </w:t>
      </w:r>
      <w:r w:rsidRPr="004A5F5F">
        <w:rPr>
          <w:sz w:val="22"/>
          <w:szCs w:val="22"/>
          <w:lang w:val="en-GB"/>
        </w:rPr>
        <w:t xml:space="preserve">(DCGM-37) </w:t>
      </w:r>
      <w:r w:rsidR="0021765C">
        <w:rPr>
          <w:noProof/>
          <w:sz w:val="22"/>
          <w:szCs w:val="22"/>
          <w:lang w:val="en-GB"/>
        </w:rPr>
        <w:t>[</w:t>
      </w:r>
      <w:r w:rsidRPr="004A5F5F">
        <w:rPr>
          <w:noProof/>
          <w:sz w:val="22"/>
          <w:szCs w:val="22"/>
          <w:lang w:val="en-GB"/>
        </w:rPr>
        <w:t>2</w:t>
      </w:r>
      <w:r w:rsidR="00AC0412" w:rsidRPr="004A5F5F">
        <w:rPr>
          <w:noProof/>
          <w:sz w:val="22"/>
          <w:szCs w:val="22"/>
          <w:lang w:val="en-GB"/>
        </w:rPr>
        <w:t>7</w:t>
      </w:r>
      <w:r w:rsidR="00AF4BF2">
        <w:rPr>
          <w:noProof/>
          <w:sz w:val="22"/>
          <w:szCs w:val="22"/>
          <w:lang w:val="en-GB"/>
        </w:rPr>
        <w:t>]</w:t>
      </w:r>
      <w:r w:rsidRPr="004A5F5F">
        <w:rPr>
          <w:sz w:val="22"/>
          <w:szCs w:val="22"/>
          <w:lang w:val="en-GB"/>
        </w:rPr>
        <w:t xml:space="preserve">. It consists of five domains: Independence (6 items, Cronbach’s alpha = .86); Physical (6 items, Cronbach’s alpha = .84); Emotion (7 items, Cronbach’s alpha = .91); Social exclusion (6 items, Cronbach’s alpha = .81); Social inclusion (6 items, Cronbach’s alpha = .83). Responses are given on a </w:t>
      </w:r>
      <w:r w:rsidRPr="004A5F5F">
        <w:rPr>
          <w:sz w:val="22"/>
          <w:szCs w:val="22"/>
          <w:lang w:val="en-GB"/>
        </w:rPr>
        <w:lastRenderedPageBreak/>
        <w:t>5-point Likert scale (1 = often</w:t>
      </w:r>
      <w:r w:rsidR="00CE1C52" w:rsidRPr="004A5F5F">
        <w:rPr>
          <w:sz w:val="22"/>
          <w:szCs w:val="22"/>
          <w:lang w:val="en-GB"/>
        </w:rPr>
        <w:t>;</w:t>
      </w:r>
      <w:r w:rsidRPr="004A5F5F">
        <w:rPr>
          <w:sz w:val="22"/>
          <w:szCs w:val="22"/>
          <w:lang w:val="en-GB"/>
        </w:rPr>
        <w:t xml:space="preserve"> 2 = quite often</w:t>
      </w:r>
      <w:r w:rsidR="00CE1C52" w:rsidRPr="004A5F5F">
        <w:rPr>
          <w:sz w:val="22"/>
          <w:szCs w:val="22"/>
          <w:lang w:val="en-GB"/>
        </w:rPr>
        <w:t>;</w:t>
      </w:r>
      <w:r w:rsidRPr="004A5F5F">
        <w:rPr>
          <w:sz w:val="22"/>
          <w:szCs w:val="22"/>
          <w:lang w:val="en-GB"/>
        </w:rPr>
        <w:t xml:space="preserve"> 3 = sometimes</w:t>
      </w:r>
      <w:r w:rsidR="00CE1C52" w:rsidRPr="004A5F5F">
        <w:rPr>
          <w:sz w:val="22"/>
          <w:szCs w:val="22"/>
          <w:lang w:val="en-GB"/>
        </w:rPr>
        <w:t>;</w:t>
      </w:r>
      <w:r w:rsidRPr="004A5F5F">
        <w:rPr>
          <w:sz w:val="22"/>
          <w:szCs w:val="22"/>
          <w:lang w:val="en-GB"/>
        </w:rPr>
        <w:t xml:space="preserve"> 4 = almost never</w:t>
      </w:r>
      <w:r w:rsidR="00CE1C52" w:rsidRPr="004A5F5F">
        <w:rPr>
          <w:sz w:val="22"/>
          <w:szCs w:val="22"/>
          <w:lang w:val="en-GB"/>
        </w:rPr>
        <w:t>;</w:t>
      </w:r>
      <w:r w:rsidRPr="004A5F5F">
        <w:rPr>
          <w:sz w:val="22"/>
          <w:szCs w:val="22"/>
          <w:lang w:val="en-GB"/>
        </w:rPr>
        <w:t xml:space="preserve"> 5 = never). A general score was computed by combining all items (Cronbach’s alpha = .95). HRQoL scores were transformed to a 0 - 100 scale. </w:t>
      </w:r>
    </w:p>
    <w:p w:rsidR="002F6E53" w:rsidRPr="004A5F5F" w:rsidRDefault="002F6E53" w:rsidP="004A5F5F">
      <w:pPr>
        <w:spacing w:line="480" w:lineRule="auto"/>
        <w:ind w:firstLine="708"/>
        <w:rPr>
          <w:sz w:val="22"/>
          <w:szCs w:val="22"/>
          <w:lang w:val="en-GB"/>
        </w:rPr>
      </w:pPr>
    </w:p>
    <w:p w:rsidR="00BB07F3" w:rsidRPr="004A5F5F" w:rsidRDefault="00BB07F3" w:rsidP="004A5F5F">
      <w:pPr>
        <w:spacing w:line="480" w:lineRule="auto"/>
        <w:outlineLvl w:val="0"/>
        <w:rPr>
          <w:b/>
          <w:iCs/>
          <w:sz w:val="22"/>
          <w:szCs w:val="22"/>
          <w:lang w:val="en-GB"/>
        </w:rPr>
      </w:pPr>
      <w:r w:rsidRPr="004A5F5F">
        <w:rPr>
          <w:b/>
          <w:iCs/>
          <w:sz w:val="22"/>
          <w:szCs w:val="22"/>
          <w:lang w:val="en-GB"/>
        </w:rPr>
        <w:t>Statistical analysis</w:t>
      </w:r>
    </w:p>
    <w:p w:rsidR="00692032" w:rsidRPr="004A5F5F" w:rsidRDefault="00BB07F3" w:rsidP="004A5F5F">
      <w:pPr>
        <w:spacing w:line="480" w:lineRule="auto"/>
        <w:rPr>
          <w:sz w:val="22"/>
          <w:szCs w:val="22"/>
          <w:lang w:val="en-GB"/>
        </w:rPr>
      </w:pPr>
      <w:r w:rsidRPr="004A5F5F">
        <w:rPr>
          <w:sz w:val="22"/>
          <w:szCs w:val="22"/>
          <w:lang w:val="en-GB"/>
        </w:rPr>
        <w:t>Backward logistic analysis was used to detect selective response; determinants of study non-response were expressed in Odds Ratios (ORs) with the 95% Confidence Intervals (95% CI), and Nagelkerke R</w:t>
      </w:r>
      <w:r w:rsidRPr="004A5F5F">
        <w:rPr>
          <w:sz w:val="22"/>
          <w:szCs w:val="22"/>
          <w:vertAlign w:val="superscript"/>
          <w:lang w:val="en-GB"/>
        </w:rPr>
        <w:t>2</w:t>
      </w:r>
      <w:r w:rsidRPr="004A5F5F">
        <w:rPr>
          <w:sz w:val="22"/>
          <w:szCs w:val="22"/>
          <w:lang w:val="en-GB"/>
        </w:rPr>
        <w:t xml:space="preserve"> indicated the proportion of explained variance. Model fit was tested with the Hosmer and Lemeshow test. The study sample was described using descriptive statistics. Differences between benefit recipients’ and non-recipients’ background characteristics were tested using t-tests (continuous variables) and chi-square tests (nominal variables). Associations between the likelihood of a disability benefit claim and other variables (Cramer’s V and Phi for ordinal or nominal variables; and Pearson's r for interval variables) were established to determine which variables should be included in the regression analyses. Only variables significantly correlated (p&lt;.05) with the outcome variables were included in the regression model. Stepwise multivariate linear regression analyses were performed to identify factors associated with the likelihood of a disability benefit claim: starting with background variables, and subsequently the T0 variables. Multicollinearity was checked by calculating the Variance Inflation Factor (VIF). Chi-Square tests were used to study differences between recipients and non-recipients on autonomy in social participation (T1). Lastly, independent T-tests were applied to detect differences between benefit re</w:t>
      </w:r>
      <w:r w:rsidR="002822F1" w:rsidRPr="004A5F5F">
        <w:rPr>
          <w:sz w:val="22"/>
          <w:szCs w:val="22"/>
          <w:lang w:val="en-GB"/>
        </w:rPr>
        <w:t xml:space="preserve">cipients and non-recipients on </w:t>
      </w:r>
      <w:r w:rsidR="00670550" w:rsidRPr="004A5F5F">
        <w:rPr>
          <w:sz w:val="22"/>
          <w:szCs w:val="22"/>
          <w:lang w:val="en-GB"/>
        </w:rPr>
        <w:t>HRQoL</w:t>
      </w:r>
      <w:r w:rsidRPr="004A5F5F">
        <w:rPr>
          <w:sz w:val="22"/>
          <w:szCs w:val="22"/>
          <w:lang w:val="en-GB"/>
        </w:rPr>
        <w:t xml:space="preserve"> and perceived impact of the chronic </w:t>
      </w:r>
      <w:r w:rsidR="00670550" w:rsidRPr="004A5F5F">
        <w:rPr>
          <w:sz w:val="22"/>
          <w:szCs w:val="22"/>
          <w:lang w:val="en-GB"/>
        </w:rPr>
        <w:t xml:space="preserve">physical </w:t>
      </w:r>
      <w:r w:rsidRPr="004A5F5F">
        <w:rPr>
          <w:sz w:val="22"/>
          <w:szCs w:val="22"/>
          <w:lang w:val="en-GB"/>
        </w:rPr>
        <w:t xml:space="preserve">condition on school and work career (T1). </w:t>
      </w:r>
      <w:r w:rsidR="00692032" w:rsidRPr="004A5F5F">
        <w:rPr>
          <w:sz w:val="22"/>
          <w:szCs w:val="22"/>
          <w:lang w:val="en-GB"/>
        </w:rPr>
        <w:t>Data were analysed with SPSS 20.</w:t>
      </w:r>
    </w:p>
    <w:p w:rsidR="00FD336F" w:rsidRPr="004A5F5F" w:rsidRDefault="00FD336F" w:rsidP="004A5F5F">
      <w:pPr>
        <w:spacing w:line="480" w:lineRule="auto"/>
        <w:rPr>
          <w:b/>
          <w:sz w:val="22"/>
          <w:szCs w:val="22"/>
          <w:u w:val="single"/>
          <w:lang w:val="en-GB"/>
        </w:rPr>
      </w:pPr>
    </w:p>
    <w:p w:rsidR="00BB07F3" w:rsidRPr="004A5F5F" w:rsidRDefault="00BB07F3" w:rsidP="004A5F5F">
      <w:pPr>
        <w:spacing w:line="480" w:lineRule="auto"/>
        <w:rPr>
          <w:b/>
          <w:sz w:val="22"/>
          <w:szCs w:val="22"/>
          <w:u w:val="single"/>
          <w:lang w:val="en-GB"/>
        </w:rPr>
      </w:pPr>
      <w:r w:rsidRPr="004A5F5F">
        <w:rPr>
          <w:b/>
          <w:sz w:val="22"/>
          <w:szCs w:val="22"/>
          <w:u w:val="single"/>
          <w:lang w:val="en-GB"/>
        </w:rPr>
        <w:t>Results</w:t>
      </w:r>
    </w:p>
    <w:p w:rsidR="00BB07F3" w:rsidRPr="004A5F5F" w:rsidRDefault="00BB07F3" w:rsidP="004A5F5F">
      <w:pPr>
        <w:spacing w:line="480" w:lineRule="auto"/>
        <w:rPr>
          <w:b/>
          <w:sz w:val="22"/>
          <w:szCs w:val="22"/>
          <w:lang w:val="en-GB"/>
        </w:rPr>
      </w:pPr>
      <w:r w:rsidRPr="004A5F5F">
        <w:rPr>
          <w:b/>
          <w:sz w:val="22"/>
          <w:szCs w:val="22"/>
          <w:lang w:val="en-GB"/>
        </w:rPr>
        <w:t>Response</w:t>
      </w:r>
    </w:p>
    <w:p w:rsidR="007C0D62" w:rsidRPr="004A5F5F" w:rsidRDefault="00BB07F3" w:rsidP="004A5F5F">
      <w:pPr>
        <w:spacing w:line="480" w:lineRule="auto"/>
        <w:rPr>
          <w:rFonts w:eastAsiaTheme="minorHAnsi"/>
          <w:sz w:val="22"/>
          <w:szCs w:val="22"/>
          <w:lang w:val="en-US" w:eastAsia="en-US"/>
        </w:rPr>
      </w:pPr>
      <w:r w:rsidRPr="004A5F5F">
        <w:rPr>
          <w:sz w:val="22"/>
          <w:szCs w:val="22"/>
          <w:lang w:val="en-GB"/>
        </w:rPr>
        <w:t xml:space="preserve">Of the 1,039 participants in the original study, 13 had died and 25 could not be traced. Consequently, 1,001 were invited for participation in this study, 88 of whom returned a postcard stating that they declined to participate further. Eventually, 518 young adults (net response: 51.8%) submitted the survey. Backward logistic regression analysis showed that nonresponse was associated with male </w:t>
      </w:r>
      <w:r w:rsidRPr="004A5F5F">
        <w:rPr>
          <w:sz w:val="22"/>
          <w:szCs w:val="22"/>
          <w:lang w:val="en-GB"/>
        </w:rPr>
        <w:lastRenderedPageBreak/>
        <w:t>gender (OR, .57; 95% CI, .43 - .74), and non-Dutch ethnicity (OR, .49; 95% CI, .33 - .74) (</w:t>
      </w:r>
      <w:r w:rsidRPr="004A5F5F">
        <w:rPr>
          <w:sz w:val="22"/>
          <w:szCs w:val="22"/>
          <w:lang w:val="en-GB"/>
        </w:rPr>
        <w:sym w:font="Symbol" w:char="F063"/>
      </w:r>
      <w:r w:rsidRPr="004A5F5F">
        <w:rPr>
          <w:sz w:val="22"/>
          <w:szCs w:val="22"/>
          <w:vertAlign w:val="superscript"/>
          <w:lang w:val="en-GB"/>
        </w:rPr>
        <w:t>2</w:t>
      </w:r>
      <w:r w:rsidRPr="004A5F5F">
        <w:rPr>
          <w:sz w:val="22"/>
          <w:szCs w:val="22"/>
          <w:lang w:val="en-GB"/>
        </w:rPr>
        <w:t xml:space="preserve"> = 29.0, degrees of freedom = 2; </w:t>
      </w:r>
      <w:r w:rsidRPr="004A5F5F">
        <w:rPr>
          <w:i/>
          <w:sz w:val="22"/>
          <w:szCs w:val="22"/>
          <w:lang w:val="en-GB"/>
        </w:rPr>
        <w:t>p</w:t>
      </w:r>
      <w:r w:rsidRPr="004A5F5F">
        <w:rPr>
          <w:sz w:val="22"/>
          <w:szCs w:val="22"/>
          <w:lang w:val="en-GB"/>
        </w:rPr>
        <w:t xml:space="preserve"> &lt; .001; R</w:t>
      </w:r>
      <w:r w:rsidRPr="004A5F5F">
        <w:rPr>
          <w:sz w:val="22"/>
          <w:szCs w:val="22"/>
          <w:vertAlign w:val="superscript"/>
          <w:lang w:val="en-GB"/>
        </w:rPr>
        <w:t>2</w:t>
      </w:r>
      <w:r w:rsidRPr="004A5F5F">
        <w:rPr>
          <w:sz w:val="22"/>
          <w:szCs w:val="22"/>
          <w:lang w:val="en-GB"/>
        </w:rPr>
        <w:t xml:space="preserve"> = .04; Hosmer and Lemeshow test, </w:t>
      </w:r>
      <w:r w:rsidRPr="004A5F5F">
        <w:rPr>
          <w:i/>
          <w:sz w:val="22"/>
          <w:szCs w:val="22"/>
          <w:lang w:val="en-GB"/>
        </w:rPr>
        <w:t>p</w:t>
      </w:r>
      <w:r w:rsidRPr="004A5F5F">
        <w:rPr>
          <w:sz w:val="22"/>
          <w:szCs w:val="22"/>
          <w:lang w:val="en-GB"/>
        </w:rPr>
        <w:t xml:space="preserve"> = .773). Six respondents (1.2%) did not report if they received social security benefits and were excluded from the analysis. Hence, the final sample numbered 512, of which 101 respondents received a disability benefit. The characteristics of the study sample are presented in Table 1.</w:t>
      </w:r>
      <w:r w:rsidR="000F7CD9" w:rsidRPr="004A5F5F">
        <w:rPr>
          <w:sz w:val="22"/>
          <w:szCs w:val="22"/>
          <w:lang w:val="en-GB"/>
        </w:rPr>
        <w:t xml:space="preserve"> </w:t>
      </w:r>
      <w:r w:rsidR="000F7CD9" w:rsidRPr="004A5F5F">
        <w:rPr>
          <w:rFonts w:eastAsiaTheme="minorHAnsi"/>
          <w:sz w:val="22"/>
          <w:szCs w:val="22"/>
          <w:lang w:val="en-US" w:eastAsia="en-US"/>
        </w:rPr>
        <w:t xml:space="preserve">With respect to diagnosis, </w:t>
      </w:r>
      <w:r w:rsidR="00674609" w:rsidRPr="004A5F5F">
        <w:rPr>
          <w:rFonts w:eastAsiaTheme="minorHAnsi"/>
          <w:sz w:val="22"/>
          <w:szCs w:val="22"/>
          <w:lang w:val="en-US" w:eastAsia="en-US"/>
        </w:rPr>
        <w:t>c</w:t>
      </w:r>
      <w:r w:rsidR="000F7CD9" w:rsidRPr="004A5F5F">
        <w:rPr>
          <w:sz w:val="22"/>
          <w:szCs w:val="22"/>
          <w:lang w:val="en-US"/>
        </w:rPr>
        <w:t xml:space="preserve">ongenital malformations, deformations and chromosomal abnormalities </w:t>
      </w:r>
      <w:r w:rsidR="000F7CD9" w:rsidRPr="004A5F5F">
        <w:rPr>
          <w:rFonts w:eastAsiaTheme="minorHAnsi"/>
          <w:sz w:val="22"/>
          <w:szCs w:val="22"/>
          <w:lang w:val="en-US" w:eastAsia="en-US"/>
        </w:rPr>
        <w:t>w</w:t>
      </w:r>
      <w:r w:rsidR="00135310" w:rsidRPr="004A5F5F">
        <w:rPr>
          <w:rFonts w:eastAsiaTheme="minorHAnsi"/>
          <w:sz w:val="22"/>
          <w:szCs w:val="22"/>
          <w:lang w:val="en-US" w:eastAsia="en-US"/>
        </w:rPr>
        <w:t xml:space="preserve">ere most frequent, followed by neoplasms, </w:t>
      </w:r>
      <w:r w:rsidR="000F7CD9" w:rsidRPr="004A5F5F">
        <w:rPr>
          <w:rFonts w:eastAsiaTheme="minorHAnsi"/>
          <w:sz w:val="22"/>
          <w:szCs w:val="22"/>
          <w:lang w:val="en-US" w:eastAsia="en-US"/>
        </w:rPr>
        <w:t>endocrine, nutr</w:t>
      </w:r>
      <w:r w:rsidR="00135310" w:rsidRPr="004A5F5F">
        <w:rPr>
          <w:rFonts w:eastAsiaTheme="minorHAnsi"/>
          <w:sz w:val="22"/>
          <w:szCs w:val="22"/>
          <w:lang w:val="en-US" w:eastAsia="en-US"/>
        </w:rPr>
        <w:t xml:space="preserve">itional, and metabolic diseases, </w:t>
      </w:r>
      <w:r w:rsidR="000F7CD9" w:rsidRPr="004A5F5F">
        <w:rPr>
          <w:rFonts w:eastAsiaTheme="minorHAnsi"/>
          <w:sz w:val="22"/>
          <w:szCs w:val="22"/>
          <w:lang w:val="en-US" w:eastAsia="en-US"/>
        </w:rPr>
        <w:t>diseases of the eye and adnexa, and the</w:t>
      </w:r>
      <w:r w:rsidR="00135310" w:rsidRPr="004A5F5F">
        <w:rPr>
          <w:rFonts w:eastAsiaTheme="minorHAnsi"/>
          <w:sz w:val="22"/>
          <w:szCs w:val="22"/>
          <w:lang w:val="en-US" w:eastAsia="en-US"/>
        </w:rPr>
        <w:t xml:space="preserve"> ear and mastoid process, </w:t>
      </w:r>
      <w:r w:rsidR="000F7CD9" w:rsidRPr="004A5F5F">
        <w:rPr>
          <w:rFonts w:eastAsiaTheme="minorHAnsi"/>
          <w:sz w:val="22"/>
          <w:szCs w:val="22"/>
          <w:lang w:val="en-US" w:eastAsia="en-US"/>
        </w:rPr>
        <w:t>diseases of the musculoskelet</w:t>
      </w:r>
      <w:r w:rsidR="00135310" w:rsidRPr="004A5F5F">
        <w:rPr>
          <w:rFonts w:eastAsiaTheme="minorHAnsi"/>
          <w:sz w:val="22"/>
          <w:szCs w:val="22"/>
          <w:lang w:val="en-US" w:eastAsia="en-US"/>
        </w:rPr>
        <w:t>al system and connective tissue</w:t>
      </w:r>
      <w:r w:rsidR="000F7CD9" w:rsidRPr="004A5F5F">
        <w:rPr>
          <w:rFonts w:eastAsiaTheme="minorHAnsi"/>
          <w:sz w:val="22"/>
          <w:szCs w:val="22"/>
          <w:lang w:val="en-US" w:eastAsia="en-US"/>
        </w:rPr>
        <w:t>, and diseases of the digestive system.</w:t>
      </w:r>
    </w:p>
    <w:p w:rsidR="00FD0990" w:rsidRPr="004A5F5F" w:rsidRDefault="00FD0990" w:rsidP="004A5F5F">
      <w:pPr>
        <w:spacing w:line="480" w:lineRule="auto"/>
        <w:rPr>
          <w:rFonts w:eastAsiaTheme="minorHAnsi"/>
          <w:b/>
          <w:sz w:val="22"/>
          <w:szCs w:val="22"/>
          <w:lang w:val="en-US" w:eastAsia="en-US"/>
        </w:rPr>
      </w:pPr>
    </w:p>
    <w:p w:rsidR="00BB07F3" w:rsidRPr="004A5F5F" w:rsidRDefault="00BB07F3" w:rsidP="004A5F5F">
      <w:pPr>
        <w:spacing w:line="480" w:lineRule="auto"/>
        <w:rPr>
          <w:b/>
          <w:sz w:val="22"/>
          <w:szCs w:val="22"/>
          <w:lang w:val="en-GB"/>
        </w:rPr>
      </w:pPr>
      <w:r w:rsidRPr="004A5F5F">
        <w:rPr>
          <w:b/>
          <w:sz w:val="22"/>
          <w:szCs w:val="22"/>
          <w:lang w:val="en-GB"/>
        </w:rPr>
        <w:t>Associations with receiving a disability benefit</w:t>
      </w:r>
    </w:p>
    <w:p w:rsidR="00FD0990" w:rsidRPr="004A5F5F" w:rsidRDefault="00BB07F3" w:rsidP="004A5F5F">
      <w:pPr>
        <w:spacing w:line="480" w:lineRule="auto"/>
        <w:rPr>
          <w:sz w:val="22"/>
          <w:szCs w:val="22"/>
          <w:lang w:val="en-GB"/>
        </w:rPr>
      </w:pPr>
      <w:r w:rsidRPr="004A5F5F">
        <w:rPr>
          <w:sz w:val="22"/>
          <w:szCs w:val="22"/>
          <w:lang w:val="en-GB"/>
        </w:rPr>
        <w:t>To determine which variables should be included in the regression analyses, associations were tested (Table 2). The multivariate model for receiving a disability benefit explained 44% of the total variance (</w:t>
      </w:r>
      <w:r w:rsidRPr="004A5F5F">
        <w:rPr>
          <w:sz w:val="22"/>
          <w:szCs w:val="22"/>
          <w:lang w:val="en-GB"/>
        </w:rPr>
        <w:sym w:font="Symbol" w:char="F063"/>
      </w:r>
      <w:r w:rsidRPr="004A5F5F">
        <w:rPr>
          <w:sz w:val="22"/>
          <w:szCs w:val="22"/>
          <w:vertAlign w:val="superscript"/>
          <w:lang w:val="en-GB"/>
        </w:rPr>
        <w:t>2</w:t>
      </w:r>
      <w:r w:rsidRPr="004A5F5F">
        <w:rPr>
          <w:sz w:val="22"/>
          <w:szCs w:val="22"/>
          <w:lang w:val="en-GB"/>
        </w:rPr>
        <w:t xml:space="preserve"> = 307.44, degrees of freedom = 10; </w:t>
      </w:r>
      <w:r w:rsidRPr="004A5F5F">
        <w:rPr>
          <w:i/>
          <w:sz w:val="22"/>
          <w:szCs w:val="22"/>
          <w:lang w:val="en-GB"/>
        </w:rPr>
        <w:t>p</w:t>
      </w:r>
      <w:r w:rsidRPr="004A5F5F">
        <w:rPr>
          <w:sz w:val="22"/>
          <w:szCs w:val="22"/>
          <w:lang w:val="en-GB"/>
        </w:rPr>
        <w:t xml:space="preserve"> &lt; .001; Hosmer and Lemeshow test, </w:t>
      </w:r>
      <w:r w:rsidRPr="004A5F5F">
        <w:rPr>
          <w:i/>
          <w:sz w:val="22"/>
          <w:szCs w:val="22"/>
          <w:lang w:val="en-GB"/>
        </w:rPr>
        <w:t>p</w:t>
      </w:r>
      <w:r w:rsidRPr="004A5F5F">
        <w:rPr>
          <w:sz w:val="22"/>
          <w:szCs w:val="22"/>
          <w:lang w:val="en-GB"/>
        </w:rPr>
        <w:t xml:space="preserve"> = .54) (Table 3).VIF scores varied between 1 and 2, indicating the absence of multicollinearity. The extent of physical disability (OR, 1.28; 95% CI, 1.10-1.48), and having followed special education during adolescence (OR, .15; 95% CI, .07-.33) were positively associated with the likelihood of receiving a disability benefit in young adulthood. Also, more absence from school (OR, 1.54; 95% CI, 1.10-2.10) and a lower HRQoL during adolescence (OR, .97; 95% CI, .95-.99) predicted a disability benefit claim later in life.</w:t>
      </w:r>
    </w:p>
    <w:p w:rsidR="007C0D62" w:rsidRPr="004A5F5F" w:rsidRDefault="007C0D62" w:rsidP="004A5F5F">
      <w:pPr>
        <w:spacing w:line="480" w:lineRule="auto"/>
        <w:jc w:val="center"/>
        <w:rPr>
          <w:rFonts w:eastAsiaTheme="minorHAnsi"/>
          <w:i/>
          <w:sz w:val="22"/>
          <w:szCs w:val="22"/>
          <w:lang w:val="en-US" w:eastAsia="en-US"/>
        </w:rPr>
      </w:pPr>
    </w:p>
    <w:p w:rsidR="00BB07F3" w:rsidRPr="004A5F5F" w:rsidRDefault="003E5788" w:rsidP="004A5F5F">
      <w:pPr>
        <w:spacing w:line="480" w:lineRule="auto"/>
        <w:rPr>
          <w:b/>
          <w:sz w:val="22"/>
          <w:szCs w:val="22"/>
          <w:lang w:val="en-GB"/>
        </w:rPr>
      </w:pPr>
      <w:r w:rsidRPr="004A5F5F">
        <w:rPr>
          <w:b/>
          <w:sz w:val="22"/>
          <w:szCs w:val="22"/>
          <w:lang w:val="en-GB"/>
        </w:rPr>
        <w:t>S</w:t>
      </w:r>
      <w:r w:rsidR="00BB07F3" w:rsidRPr="004A5F5F">
        <w:rPr>
          <w:b/>
          <w:sz w:val="22"/>
          <w:szCs w:val="22"/>
          <w:lang w:val="en-GB"/>
        </w:rPr>
        <w:t>ocial participation</w:t>
      </w:r>
    </w:p>
    <w:p w:rsidR="00BB07F3" w:rsidRPr="004A5F5F" w:rsidRDefault="00BB07F3" w:rsidP="004A5F5F">
      <w:pPr>
        <w:spacing w:line="480" w:lineRule="auto"/>
        <w:rPr>
          <w:sz w:val="22"/>
          <w:szCs w:val="22"/>
          <w:lang w:val="en-GB"/>
        </w:rPr>
      </w:pPr>
      <w:r w:rsidRPr="004A5F5F">
        <w:rPr>
          <w:sz w:val="22"/>
          <w:szCs w:val="22"/>
          <w:lang w:val="en-GB"/>
        </w:rPr>
        <w:t>No significant differences between benefit recipients and non-recipients were found on achieved autonomy in the life areas employment (</w:t>
      </w:r>
      <w:r w:rsidRPr="004A5F5F">
        <w:rPr>
          <w:i/>
          <w:sz w:val="22"/>
          <w:szCs w:val="22"/>
          <w:lang w:val="en-GB"/>
        </w:rPr>
        <w:t>p</w:t>
      </w:r>
      <w:r w:rsidRPr="004A5F5F">
        <w:rPr>
          <w:sz w:val="22"/>
          <w:szCs w:val="22"/>
          <w:lang w:val="en-GB"/>
        </w:rPr>
        <w:t xml:space="preserve"> = 1.00), social relationships (</w:t>
      </w:r>
      <w:r w:rsidRPr="004A5F5F">
        <w:rPr>
          <w:i/>
          <w:sz w:val="22"/>
          <w:szCs w:val="22"/>
          <w:lang w:val="en-GB"/>
        </w:rPr>
        <w:t xml:space="preserve">p </w:t>
      </w:r>
      <w:r w:rsidRPr="004A5F5F">
        <w:rPr>
          <w:sz w:val="22"/>
          <w:szCs w:val="22"/>
          <w:lang w:val="en-GB"/>
        </w:rPr>
        <w:t>= .10), and housing (</w:t>
      </w:r>
      <w:r w:rsidRPr="004A5F5F">
        <w:rPr>
          <w:i/>
          <w:sz w:val="22"/>
          <w:szCs w:val="22"/>
          <w:lang w:val="en-GB"/>
        </w:rPr>
        <w:t xml:space="preserve">p </w:t>
      </w:r>
      <w:r w:rsidRPr="004A5F5F">
        <w:rPr>
          <w:sz w:val="22"/>
          <w:szCs w:val="22"/>
          <w:lang w:val="en-GB"/>
        </w:rPr>
        <w:t xml:space="preserve">= .78). Compared to young </w:t>
      </w:r>
      <w:r w:rsidR="002F5129" w:rsidRPr="004A5F5F">
        <w:rPr>
          <w:sz w:val="22"/>
          <w:szCs w:val="22"/>
          <w:lang w:val="en-GB"/>
        </w:rPr>
        <w:t xml:space="preserve">adults </w:t>
      </w:r>
      <w:r w:rsidR="00FD336F" w:rsidRPr="004A5F5F">
        <w:rPr>
          <w:sz w:val="22"/>
          <w:szCs w:val="22"/>
          <w:lang w:val="en-GB"/>
        </w:rPr>
        <w:t xml:space="preserve">with chronic physical </w:t>
      </w:r>
      <w:r w:rsidR="003E2756" w:rsidRPr="004A5F5F">
        <w:rPr>
          <w:sz w:val="22"/>
          <w:szCs w:val="22"/>
          <w:lang w:val="en-GB"/>
        </w:rPr>
        <w:t xml:space="preserve">conditions </w:t>
      </w:r>
      <w:r w:rsidRPr="004A5F5F">
        <w:rPr>
          <w:sz w:val="22"/>
          <w:szCs w:val="22"/>
          <w:lang w:val="en-GB"/>
        </w:rPr>
        <w:t xml:space="preserve">who do not receive a disability benefit, the benefit recipients were less often involved in intimate and sexual relationships (34.7% versus 57.1%; </w:t>
      </w:r>
      <w:r w:rsidRPr="004A5F5F">
        <w:rPr>
          <w:i/>
          <w:sz w:val="22"/>
          <w:szCs w:val="22"/>
          <w:lang w:val="en-GB"/>
        </w:rPr>
        <w:t>p</w:t>
      </w:r>
      <w:r w:rsidRPr="004A5F5F">
        <w:rPr>
          <w:sz w:val="22"/>
          <w:szCs w:val="22"/>
          <w:lang w:val="en-GB"/>
        </w:rPr>
        <w:t xml:space="preserve">&lt;.001), in independently organizing transportation (75.8% versus 96.4%, </w:t>
      </w:r>
      <w:r w:rsidRPr="004A5F5F">
        <w:rPr>
          <w:i/>
          <w:sz w:val="22"/>
          <w:szCs w:val="22"/>
          <w:lang w:val="en-GB"/>
        </w:rPr>
        <w:t>p</w:t>
      </w:r>
      <w:r w:rsidRPr="004A5F5F">
        <w:rPr>
          <w:sz w:val="22"/>
          <w:szCs w:val="22"/>
          <w:lang w:val="en-GB"/>
        </w:rPr>
        <w:t xml:space="preserve">&lt;.001) and </w:t>
      </w:r>
      <w:r w:rsidRPr="004A5F5F">
        <w:rPr>
          <w:sz w:val="22"/>
          <w:szCs w:val="22"/>
          <w:lang w:val="en-GB"/>
        </w:rPr>
        <w:lastRenderedPageBreak/>
        <w:t xml:space="preserve">in attending social events (33.7% versus 59.9%; </w:t>
      </w:r>
      <w:r w:rsidRPr="004A5F5F">
        <w:rPr>
          <w:i/>
          <w:sz w:val="22"/>
          <w:szCs w:val="22"/>
          <w:lang w:val="en-GB"/>
        </w:rPr>
        <w:t>p</w:t>
      </w:r>
      <w:r w:rsidRPr="004A5F5F">
        <w:rPr>
          <w:sz w:val="22"/>
          <w:szCs w:val="22"/>
          <w:lang w:val="en-GB"/>
        </w:rPr>
        <w:t xml:space="preserve">&lt;.001). As expected, benefit recipients were more often financially self-supporting than non-recipients (100% versus 29.0%; </w:t>
      </w:r>
      <w:r w:rsidRPr="004A5F5F">
        <w:rPr>
          <w:i/>
          <w:sz w:val="22"/>
          <w:szCs w:val="22"/>
          <w:lang w:val="en-GB"/>
        </w:rPr>
        <w:t>p</w:t>
      </w:r>
      <w:r w:rsidRPr="004A5F5F">
        <w:rPr>
          <w:sz w:val="22"/>
          <w:szCs w:val="22"/>
          <w:lang w:val="en-GB"/>
        </w:rPr>
        <w:t>&lt;.001) (Table 4).</w:t>
      </w:r>
    </w:p>
    <w:p w:rsidR="005F09EE" w:rsidRDefault="005F09EE" w:rsidP="004A5F5F">
      <w:pPr>
        <w:spacing w:line="480" w:lineRule="auto"/>
        <w:rPr>
          <w:b/>
          <w:sz w:val="22"/>
          <w:szCs w:val="22"/>
          <w:lang w:val="en-GB"/>
        </w:rPr>
      </w:pPr>
    </w:p>
    <w:p w:rsidR="00BB07F3" w:rsidRPr="004A5F5F" w:rsidRDefault="00BB07F3" w:rsidP="004A5F5F">
      <w:pPr>
        <w:spacing w:line="480" w:lineRule="auto"/>
        <w:rPr>
          <w:b/>
          <w:sz w:val="22"/>
          <w:szCs w:val="22"/>
          <w:lang w:val="en-GB"/>
        </w:rPr>
      </w:pPr>
      <w:r w:rsidRPr="004A5F5F">
        <w:rPr>
          <w:b/>
          <w:sz w:val="22"/>
          <w:szCs w:val="22"/>
          <w:lang w:val="en-GB"/>
        </w:rPr>
        <w:t>Psychosocial outcomes</w:t>
      </w:r>
      <w:r w:rsidRPr="004A5F5F">
        <w:rPr>
          <w:b/>
          <w:sz w:val="22"/>
          <w:szCs w:val="22"/>
          <w:lang w:val="en-GB"/>
        </w:rPr>
        <w:tab/>
        <w:t xml:space="preserve"> </w:t>
      </w:r>
    </w:p>
    <w:p w:rsidR="007C0D62" w:rsidRPr="004A5F5F" w:rsidRDefault="00BB07F3" w:rsidP="004A5F5F">
      <w:pPr>
        <w:spacing w:line="480" w:lineRule="auto"/>
        <w:rPr>
          <w:sz w:val="22"/>
          <w:szCs w:val="22"/>
          <w:lang w:val="en-GB"/>
        </w:rPr>
      </w:pPr>
      <w:r w:rsidRPr="004A5F5F">
        <w:rPr>
          <w:sz w:val="22"/>
          <w:szCs w:val="22"/>
          <w:lang w:val="en-GB"/>
        </w:rPr>
        <w:t>Young adults</w:t>
      </w:r>
      <w:r w:rsidR="00FD336F" w:rsidRPr="004A5F5F">
        <w:rPr>
          <w:sz w:val="22"/>
          <w:szCs w:val="22"/>
          <w:lang w:val="en-GB"/>
        </w:rPr>
        <w:t xml:space="preserve"> </w:t>
      </w:r>
      <w:r w:rsidRPr="004A5F5F">
        <w:rPr>
          <w:sz w:val="22"/>
          <w:szCs w:val="22"/>
          <w:lang w:val="en-GB"/>
        </w:rPr>
        <w:t>receiving a disability benefit reported a higher perceived impact of the chronic</w:t>
      </w:r>
      <w:r w:rsidR="00670550" w:rsidRPr="004A5F5F">
        <w:rPr>
          <w:sz w:val="22"/>
          <w:szCs w:val="22"/>
          <w:lang w:val="en-GB"/>
        </w:rPr>
        <w:t xml:space="preserve"> physical</w:t>
      </w:r>
      <w:r w:rsidRPr="004A5F5F">
        <w:rPr>
          <w:sz w:val="22"/>
          <w:szCs w:val="22"/>
          <w:lang w:val="en-GB"/>
        </w:rPr>
        <w:t xml:space="preserve"> condition on their school and work career (15.12 ±5.13, </w:t>
      </w:r>
      <w:r w:rsidRPr="004A5F5F">
        <w:rPr>
          <w:i/>
          <w:sz w:val="22"/>
          <w:szCs w:val="22"/>
          <w:lang w:val="en-GB"/>
        </w:rPr>
        <w:t>p</w:t>
      </w:r>
      <w:r w:rsidRPr="004A5F5F">
        <w:rPr>
          <w:sz w:val="22"/>
          <w:szCs w:val="22"/>
          <w:lang w:val="en-GB"/>
        </w:rPr>
        <w:t xml:space="preserve">&lt;.001) compared to young adults </w:t>
      </w:r>
      <w:r w:rsidR="00FD336F" w:rsidRPr="004A5F5F">
        <w:rPr>
          <w:sz w:val="22"/>
          <w:szCs w:val="22"/>
          <w:lang w:val="en-GB"/>
        </w:rPr>
        <w:t xml:space="preserve">with chronic physical </w:t>
      </w:r>
      <w:r w:rsidR="003E2756" w:rsidRPr="004A5F5F">
        <w:rPr>
          <w:sz w:val="22"/>
          <w:szCs w:val="22"/>
          <w:lang w:val="en-GB"/>
        </w:rPr>
        <w:t xml:space="preserve">conditions </w:t>
      </w:r>
      <w:r w:rsidRPr="004A5F5F">
        <w:rPr>
          <w:sz w:val="22"/>
          <w:szCs w:val="22"/>
          <w:lang w:val="en-GB"/>
        </w:rPr>
        <w:t>who did not receive a disability benefit (</w:t>
      </w:r>
      <w:r w:rsidRPr="004A5F5F">
        <w:rPr>
          <w:sz w:val="22"/>
          <w:szCs w:val="22"/>
          <w:lang w:val="en-US"/>
        </w:rPr>
        <w:t xml:space="preserve">8.89 </w:t>
      </w:r>
      <w:r w:rsidRPr="004A5F5F">
        <w:rPr>
          <w:sz w:val="22"/>
          <w:szCs w:val="22"/>
          <w:lang w:val="en-GB"/>
        </w:rPr>
        <w:t>±</w:t>
      </w:r>
      <w:r w:rsidRPr="004A5F5F">
        <w:rPr>
          <w:sz w:val="22"/>
          <w:szCs w:val="22"/>
          <w:lang w:val="en-US"/>
        </w:rPr>
        <w:t xml:space="preserve">4.60, </w:t>
      </w:r>
      <w:r w:rsidRPr="004A5F5F">
        <w:rPr>
          <w:i/>
          <w:sz w:val="22"/>
          <w:szCs w:val="22"/>
          <w:lang w:val="en-GB"/>
        </w:rPr>
        <w:t>p</w:t>
      </w:r>
      <w:r w:rsidRPr="004A5F5F">
        <w:rPr>
          <w:sz w:val="22"/>
          <w:szCs w:val="22"/>
          <w:lang w:val="en-GB"/>
        </w:rPr>
        <w:t>&lt;.001). Also, they experienced a lower general HRQoL (</w:t>
      </w:r>
      <w:r w:rsidRPr="004A5F5F">
        <w:rPr>
          <w:sz w:val="22"/>
          <w:szCs w:val="22"/>
          <w:lang w:val="en-US"/>
        </w:rPr>
        <w:t>65.92</w:t>
      </w:r>
      <w:r w:rsidRPr="004A5F5F">
        <w:rPr>
          <w:sz w:val="22"/>
          <w:szCs w:val="22"/>
          <w:lang w:val="en-GB"/>
        </w:rPr>
        <w:t>±</w:t>
      </w:r>
      <w:r w:rsidRPr="004A5F5F">
        <w:rPr>
          <w:sz w:val="22"/>
          <w:szCs w:val="22"/>
          <w:lang w:val="en-US"/>
        </w:rPr>
        <w:t>17.38</w:t>
      </w:r>
      <w:r w:rsidRPr="004A5F5F">
        <w:rPr>
          <w:sz w:val="22"/>
          <w:szCs w:val="22"/>
          <w:lang w:val="en-GB"/>
        </w:rPr>
        <w:t xml:space="preserve"> versus </w:t>
      </w:r>
      <w:r w:rsidRPr="004A5F5F">
        <w:rPr>
          <w:sz w:val="22"/>
          <w:szCs w:val="22"/>
          <w:lang w:val="en-US"/>
        </w:rPr>
        <w:t xml:space="preserve">80.86 </w:t>
      </w:r>
      <w:r w:rsidRPr="004A5F5F">
        <w:rPr>
          <w:sz w:val="22"/>
          <w:szCs w:val="22"/>
          <w:lang w:val="en-GB"/>
        </w:rPr>
        <w:t>±</w:t>
      </w:r>
      <w:r w:rsidRPr="004A5F5F">
        <w:rPr>
          <w:sz w:val="22"/>
          <w:szCs w:val="22"/>
          <w:lang w:val="en-US"/>
        </w:rPr>
        <w:t>14.15</w:t>
      </w:r>
      <w:r w:rsidRPr="004A5F5F">
        <w:rPr>
          <w:sz w:val="22"/>
          <w:szCs w:val="22"/>
          <w:lang w:val="en-GB"/>
        </w:rPr>
        <w:t xml:space="preserve">, </w:t>
      </w:r>
      <w:r w:rsidRPr="004A5F5F">
        <w:rPr>
          <w:i/>
          <w:sz w:val="22"/>
          <w:szCs w:val="22"/>
          <w:lang w:val="en-GB"/>
        </w:rPr>
        <w:t>p</w:t>
      </w:r>
      <w:r w:rsidRPr="004A5F5F">
        <w:rPr>
          <w:sz w:val="22"/>
          <w:szCs w:val="22"/>
          <w:lang w:val="en-GB"/>
        </w:rPr>
        <w:t>&lt;.001). Note that HRQoL was also lower on each of the subdomains (Table 4).</w:t>
      </w:r>
    </w:p>
    <w:p w:rsidR="007C0D62" w:rsidRPr="004A5F5F" w:rsidRDefault="007C0D62" w:rsidP="004A5F5F">
      <w:pPr>
        <w:spacing w:line="480" w:lineRule="auto"/>
        <w:jc w:val="center"/>
        <w:rPr>
          <w:rFonts w:eastAsiaTheme="minorHAnsi"/>
          <w:i/>
          <w:sz w:val="22"/>
          <w:szCs w:val="22"/>
          <w:lang w:val="en-US" w:eastAsia="en-US"/>
        </w:rPr>
      </w:pPr>
    </w:p>
    <w:p w:rsidR="007B6C85" w:rsidRPr="004A5F5F" w:rsidRDefault="00BB07F3" w:rsidP="004A5F5F">
      <w:pPr>
        <w:spacing w:line="480" w:lineRule="auto"/>
        <w:rPr>
          <w:b/>
          <w:sz w:val="22"/>
          <w:szCs w:val="22"/>
          <w:u w:val="single"/>
          <w:lang w:val="en-US"/>
        </w:rPr>
      </w:pPr>
      <w:r w:rsidRPr="004A5F5F">
        <w:rPr>
          <w:b/>
          <w:sz w:val="22"/>
          <w:szCs w:val="22"/>
          <w:u w:val="single"/>
          <w:lang w:val="en-US"/>
        </w:rPr>
        <w:t>Discussion</w:t>
      </w:r>
    </w:p>
    <w:p w:rsidR="00BF1615" w:rsidRPr="00BF1615" w:rsidRDefault="007B6C85" w:rsidP="004A5F5F">
      <w:pPr>
        <w:spacing w:line="480" w:lineRule="auto"/>
        <w:rPr>
          <w:color w:val="000000"/>
          <w:sz w:val="22"/>
          <w:szCs w:val="22"/>
          <w:lang w:val="en-US"/>
        </w:rPr>
      </w:pPr>
      <w:r w:rsidRPr="004A5F5F">
        <w:rPr>
          <w:sz w:val="22"/>
          <w:szCs w:val="22"/>
          <w:lang w:val="en-US"/>
        </w:rPr>
        <w:t>We explored</w:t>
      </w:r>
      <w:r w:rsidR="008A3F4B" w:rsidRPr="004A5F5F">
        <w:rPr>
          <w:b/>
          <w:sz w:val="22"/>
          <w:szCs w:val="22"/>
          <w:lang w:val="en-US"/>
        </w:rPr>
        <w:t xml:space="preserve"> </w:t>
      </w:r>
      <w:r w:rsidR="008A3F4B" w:rsidRPr="004A5F5F">
        <w:rPr>
          <w:sz w:val="22"/>
          <w:szCs w:val="22"/>
          <w:lang w:val="en-GB"/>
        </w:rPr>
        <w:t>predictors during adolescence for receiving disability benefits in</w:t>
      </w:r>
      <w:r w:rsidR="006E3FC0" w:rsidRPr="004A5F5F">
        <w:rPr>
          <w:sz w:val="22"/>
          <w:szCs w:val="22"/>
          <w:lang w:val="en-GB"/>
        </w:rPr>
        <w:t xml:space="preserve"> young adulthood and </w:t>
      </w:r>
      <w:r w:rsidR="008A3F4B" w:rsidRPr="004A5F5F">
        <w:rPr>
          <w:sz w:val="22"/>
          <w:szCs w:val="22"/>
          <w:lang w:val="en-GB"/>
        </w:rPr>
        <w:t>compare benefit recipients’ and non-recipients’ social participation</w:t>
      </w:r>
      <w:r w:rsidR="0098664B" w:rsidRPr="004A5F5F">
        <w:rPr>
          <w:sz w:val="22"/>
          <w:szCs w:val="22"/>
          <w:lang w:val="en-GB"/>
        </w:rPr>
        <w:t>,</w:t>
      </w:r>
      <w:r w:rsidR="008A3F4B" w:rsidRPr="004A5F5F">
        <w:rPr>
          <w:sz w:val="22"/>
          <w:szCs w:val="22"/>
          <w:lang w:val="en-GB"/>
        </w:rPr>
        <w:t xml:space="preserve"> and psychosocial outcomes in young adulthood, among a cohort of young people with chronic physical conditions.</w:t>
      </w:r>
      <w:r w:rsidR="008A3F4B" w:rsidRPr="004A5F5F">
        <w:rPr>
          <w:b/>
          <w:sz w:val="22"/>
          <w:szCs w:val="22"/>
          <w:lang w:val="en-US"/>
        </w:rPr>
        <w:t xml:space="preserve"> </w:t>
      </w:r>
      <w:r w:rsidR="00BB07F3" w:rsidRPr="004A5F5F">
        <w:rPr>
          <w:sz w:val="22"/>
          <w:szCs w:val="22"/>
          <w:lang w:val="en-US"/>
        </w:rPr>
        <w:t>Our study showed that a greater extent o</w:t>
      </w:r>
      <w:r w:rsidR="00BD0747" w:rsidRPr="004A5F5F">
        <w:rPr>
          <w:sz w:val="22"/>
          <w:szCs w:val="22"/>
          <w:lang w:val="en-US"/>
        </w:rPr>
        <w:t xml:space="preserve">f physical disability, </w:t>
      </w:r>
      <w:r w:rsidR="00BB07F3" w:rsidRPr="004A5F5F">
        <w:rPr>
          <w:sz w:val="22"/>
          <w:szCs w:val="22"/>
          <w:lang w:val="en-US"/>
        </w:rPr>
        <w:t>receiving special education</w:t>
      </w:r>
      <w:r w:rsidR="00E90974">
        <w:rPr>
          <w:sz w:val="22"/>
          <w:szCs w:val="22"/>
          <w:lang w:val="en-US"/>
        </w:rPr>
        <w:t xml:space="preserve"> </w:t>
      </w:r>
      <w:r w:rsidR="00BB07F3" w:rsidRPr="004A5F5F">
        <w:rPr>
          <w:sz w:val="22"/>
          <w:szCs w:val="22"/>
          <w:lang w:val="en-US"/>
        </w:rPr>
        <w:t>during</w:t>
      </w:r>
      <w:r w:rsidR="00BD0747" w:rsidRPr="004A5F5F">
        <w:rPr>
          <w:sz w:val="22"/>
          <w:szCs w:val="22"/>
          <w:lang w:val="en-US"/>
        </w:rPr>
        <w:t xml:space="preserve"> adolescence, a higher perceived impact of their chronic </w:t>
      </w:r>
      <w:r w:rsidR="00670550" w:rsidRPr="004A5F5F">
        <w:rPr>
          <w:sz w:val="22"/>
          <w:szCs w:val="22"/>
          <w:lang w:val="en-US"/>
        </w:rPr>
        <w:t xml:space="preserve">physical </w:t>
      </w:r>
      <w:r w:rsidR="00BD0747" w:rsidRPr="004A5F5F">
        <w:rPr>
          <w:sz w:val="22"/>
          <w:szCs w:val="22"/>
          <w:lang w:val="en-US"/>
        </w:rPr>
        <w:t>condition on their school career</w:t>
      </w:r>
      <w:r w:rsidR="0098360F" w:rsidRPr="004A5F5F">
        <w:rPr>
          <w:sz w:val="22"/>
          <w:szCs w:val="22"/>
          <w:lang w:val="en-US"/>
        </w:rPr>
        <w:t>,</w:t>
      </w:r>
      <w:r w:rsidR="00BD0747" w:rsidRPr="004A5F5F">
        <w:rPr>
          <w:sz w:val="22"/>
          <w:szCs w:val="22"/>
          <w:lang w:val="en-US"/>
        </w:rPr>
        <w:t xml:space="preserve"> and experiencing lower HRQoL during adolescence predict the likelihood of a disability benefit claim later in life</w:t>
      </w:r>
      <w:r w:rsidR="00BB07F3" w:rsidRPr="004A5F5F">
        <w:rPr>
          <w:sz w:val="22"/>
          <w:szCs w:val="22"/>
          <w:lang w:val="en-US"/>
        </w:rPr>
        <w:t xml:space="preserve">. </w:t>
      </w:r>
      <w:r w:rsidR="00BD0747" w:rsidRPr="004A5F5F">
        <w:rPr>
          <w:sz w:val="22"/>
          <w:szCs w:val="22"/>
          <w:lang w:val="en-US"/>
        </w:rPr>
        <w:t>In young adulthood</w:t>
      </w:r>
      <w:r w:rsidR="00BB07F3" w:rsidRPr="004A5F5F">
        <w:rPr>
          <w:sz w:val="22"/>
          <w:szCs w:val="22"/>
          <w:lang w:val="en-US"/>
        </w:rPr>
        <w:t xml:space="preserve">, benefit recipients perceived a higher impact of their chronic </w:t>
      </w:r>
      <w:r w:rsidR="00670550" w:rsidRPr="004A5F5F">
        <w:rPr>
          <w:sz w:val="22"/>
          <w:szCs w:val="22"/>
          <w:lang w:val="en-US"/>
        </w:rPr>
        <w:t xml:space="preserve">physical </w:t>
      </w:r>
      <w:r w:rsidR="00BB07F3" w:rsidRPr="004A5F5F">
        <w:rPr>
          <w:sz w:val="22"/>
          <w:szCs w:val="22"/>
          <w:lang w:val="en-US"/>
        </w:rPr>
        <w:t>condition on their school career and report</w:t>
      </w:r>
      <w:r w:rsidR="0098360F" w:rsidRPr="004A5F5F">
        <w:rPr>
          <w:sz w:val="22"/>
          <w:szCs w:val="22"/>
          <w:lang w:val="en-US"/>
        </w:rPr>
        <w:t>ed</w:t>
      </w:r>
      <w:r w:rsidR="00BB07F3" w:rsidRPr="004A5F5F">
        <w:rPr>
          <w:sz w:val="22"/>
          <w:szCs w:val="22"/>
          <w:lang w:val="en-US"/>
        </w:rPr>
        <w:t xml:space="preserve"> a lower HRQoL compared to </w:t>
      </w:r>
      <w:r w:rsidR="008A3F4B" w:rsidRPr="004A5F5F">
        <w:rPr>
          <w:sz w:val="22"/>
          <w:szCs w:val="22"/>
          <w:lang w:val="en-US"/>
        </w:rPr>
        <w:t xml:space="preserve">young people with chronic physical conditions </w:t>
      </w:r>
      <w:r w:rsidR="00FD336F" w:rsidRPr="004A5F5F">
        <w:rPr>
          <w:sz w:val="22"/>
          <w:szCs w:val="22"/>
          <w:lang w:val="en-US"/>
        </w:rPr>
        <w:t xml:space="preserve">who </w:t>
      </w:r>
      <w:r w:rsidR="00FD336F" w:rsidRPr="004A5F5F">
        <w:rPr>
          <w:sz w:val="22"/>
          <w:szCs w:val="22"/>
          <w:lang w:val="en-GB"/>
        </w:rPr>
        <w:t>did not receive a disability benefit</w:t>
      </w:r>
      <w:r w:rsidR="00BD0747" w:rsidRPr="004A5F5F">
        <w:rPr>
          <w:sz w:val="22"/>
          <w:szCs w:val="22"/>
          <w:lang w:val="en-GB"/>
        </w:rPr>
        <w:t>.</w:t>
      </w:r>
      <w:r w:rsidR="004D0181" w:rsidRPr="004A5F5F">
        <w:rPr>
          <w:sz w:val="22"/>
          <w:szCs w:val="22"/>
          <w:lang w:val="en-GB"/>
        </w:rPr>
        <w:t xml:space="preserve"> Also, they </w:t>
      </w:r>
      <w:r w:rsidR="00861323" w:rsidRPr="004A5F5F">
        <w:rPr>
          <w:sz w:val="22"/>
          <w:szCs w:val="22"/>
          <w:lang w:val="en-GB"/>
        </w:rPr>
        <w:t>l</w:t>
      </w:r>
      <w:r w:rsidR="00861323" w:rsidRPr="004A5F5F">
        <w:rPr>
          <w:color w:val="000000"/>
          <w:sz w:val="22"/>
          <w:szCs w:val="22"/>
          <w:lang w:val="en-US"/>
        </w:rPr>
        <w:t>agged behind regarding having an intimate relationship, and reported less autonomy in transportation and doing leisure activities.</w:t>
      </w:r>
    </w:p>
    <w:p w:rsidR="005F09EE" w:rsidRDefault="00BB07F3" w:rsidP="004A5F5F">
      <w:pPr>
        <w:spacing w:line="480" w:lineRule="auto"/>
        <w:ind w:firstLine="708"/>
        <w:rPr>
          <w:sz w:val="22"/>
          <w:szCs w:val="22"/>
          <w:lang w:val="en-US"/>
        </w:rPr>
      </w:pPr>
      <w:r w:rsidRPr="004A5F5F">
        <w:rPr>
          <w:sz w:val="22"/>
          <w:szCs w:val="22"/>
          <w:lang w:val="en-GB"/>
        </w:rPr>
        <w:t xml:space="preserve">Our study adds to the literature by defining and characterising a subgroup of </w:t>
      </w:r>
      <w:r w:rsidR="00135310" w:rsidRPr="004A5F5F">
        <w:rPr>
          <w:sz w:val="22"/>
          <w:szCs w:val="22"/>
          <w:lang w:val="en-GB"/>
        </w:rPr>
        <w:t xml:space="preserve">young people </w:t>
      </w:r>
      <w:r w:rsidRPr="004A5F5F">
        <w:rPr>
          <w:sz w:val="22"/>
          <w:szCs w:val="22"/>
          <w:lang w:val="en-GB"/>
        </w:rPr>
        <w:t xml:space="preserve">with chronic </w:t>
      </w:r>
      <w:r w:rsidR="002822F1" w:rsidRPr="004A5F5F">
        <w:rPr>
          <w:sz w:val="22"/>
          <w:szCs w:val="22"/>
          <w:lang w:val="en-GB"/>
        </w:rPr>
        <w:t xml:space="preserve">physical </w:t>
      </w:r>
      <w:r w:rsidRPr="004A5F5F">
        <w:rPr>
          <w:sz w:val="22"/>
          <w:szCs w:val="22"/>
          <w:lang w:val="en-GB"/>
        </w:rPr>
        <w:t>conditions even more vulnerable for a delay in psychosocial development, and as such underlines the need for a lifespan perspective on care for this group.</w:t>
      </w:r>
      <w:r w:rsidRPr="004A5F5F">
        <w:rPr>
          <w:sz w:val="22"/>
          <w:szCs w:val="22"/>
          <w:lang w:val="en-US"/>
        </w:rPr>
        <w:t xml:space="preserve"> Roebroeck and colleagues </w:t>
      </w:r>
      <w:r w:rsidR="0021765C">
        <w:rPr>
          <w:noProof/>
          <w:sz w:val="22"/>
          <w:szCs w:val="22"/>
          <w:lang w:val="en-US"/>
        </w:rPr>
        <w:t>[</w:t>
      </w:r>
      <w:r w:rsidRPr="004A5F5F">
        <w:rPr>
          <w:noProof/>
          <w:sz w:val="22"/>
          <w:szCs w:val="22"/>
          <w:lang w:val="en-US"/>
        </w:rPr>
        <w:t>2</w:t>
      </w:r>
      <w:r w:rsidR="00AC0412" w:rsidRPr="004A5F5F">
        <w:rPr>
          <w:noProof/>
          <w:sz w:val="22"/>
          <w:szCs w:val="22"/>
          <w:lang w:val="en-US"/>
        </w:rPr>
        <w:t>8</w:t>
      </w:r>
      <w:r w:rsidR="00AF4BF2">
        <w:rPr>
          <w:noProof/>
          <w:sz w:val="22"/>
          <w:szCs w:val="22"/>
          <w:lang w:val="en-US"/>
        </w:rPr>
        <w:t>]</w:t>
      </w:r>
      <w:r w:rsidRPr="004A5F5F">
        <w:rPr>
          <w:sz w:val="22"/>
          <w:szCs w:val="22"/>
          <w:lang w:val="en-US"/>
        </w:rPr>
        <w:t xml:space="preserve"> earlier acknowledged the need for incorporating a lifespan perspective throughout pediatric, transition, and adult </w:t>
      </w:r>
      <w:r w:rsidR="00670550" w:rsidRPr="004A5F5F">
        <w:rPr>
          <w:sz w:val="22"/>
          <w:szCs w:val="22"/>
          <w:lang w:val="en-US"/>
        </w:rPr>
        <w:t xml:space="preserve">rehabilitation </w:t>
      </w:r>
      <w:r w:rsidRPr="004A5F5F">
        <w:rPr>
          <w:sz w:val="22"/>
          <w:szCs w:val="22"/>
          <w:lang w:val="en-US"/>
        </w:rPr>
        <w:t xml:space="preserve">care. For instance, in England, deployment of Young Adult Teams of health care professionals proved useful in supporting young adults’ social participation </w:t>
      </w:r>
      <w:r w:rsidR="0021765C">
        <w:rPr>
          <w:sz w:val="22"/>
          <w:szCs w:val="22"/>
          <w:lang w:val="en-US"/>
        </w:rPr>
        <w:t>[</w:t>
      </w:r>
      <w:r w:rsidRPr="004A5F5F">
        <w:rPr>
          <w:noProof/>
          <w:sz w:val="22"/>
          <w:szCs w:val="22"/>
          <w:lang w:val="en-US"/>
        </w:rPr>
        <w:t>2</w:t>
      </w:r>
      <w:r w:rsidR="00AC0412" w:rsidRPr="004A5F5F">
        <w:rPr>
          <w:noProof/>
          <w:sz w:val="22"/>
          <w:szCs w:val="22"/>
          <w:lang w:val="en-US"/>
        </w:rPr>
        <w:t>9</w:t>
      </w:r>
      <w:r w:rsidR="00AF4BF2">
        <w:rPr>
          <w:noProof/>
          <w:sz w:val="22"/>
          <w:szCs w:val="22"/>
          <w:lang w:val="en-US"/>
        </w:rPr>
        <w:t>]</w:t>
      </w:r>
      <w:r w:rsidRPr="004A5F5F">
        <w:rPr>
          <w:sz w:val="22"/>
          <w:szCs w:val="22"/>
          <w:lang w:val="en-US"/>
        </w:rPr>
        <w:t xml:space="preserve">. Other options, introduced in the Netherlands, are group-based interventions aimed </w:t>
      </w:r>
      <w:r w:rsidRPr="004A5F5F">
        <w:rPr>
          <w:sz w:val="22"/>
          <w:szCs w:val="22"/>
          <w:lang w:val="en-US"/>
        </w:rPr>
        <w:lastRenderedPageBreak/>
        <w:t xml:space="preserve">at single or multiple participation domains, or discussing patient reported outcomes during consultations </w:t>
      </w:r>
      <w:r w:rsidR="0021765C">
        <w:rPr>
          <w:noProof/>
          <w:sz w:val="22"/>
          <w:szCs w:val="22"/>
          <w:lang w:val="en-US"/>
        </w:rPr>
        <w:t>[</w:t>
      </w:r>
      <w:r w:rsidRPr="004A5F5F">
        <w:rPr>
          <w:noProof/>
          <w:sz w:val="22"/>
          <w:szCs w:val="22"/>
          <w:lang w:val="en-US"/>
        </w:rPr>
        <w:t>1</w:t>
      </w:r>
      <w:r w:rsidR="00AC0412" w:rsidRPr="004A5F5F">
        <w:rPr>
          <w:noProof/>
          <w:sz w:val="22"/>
          <w:szCs w:val="22"/>
          <w:lang w:val="en-US"/>
        </w:rPr>
        <w:t>2</w:t>
      </w:r>
      <w:r w:rsidRPr="004A5F5F">
        <w:rPr>
          <w:noProof/>
          <w:sz w:val="22"/>
          <w:szCs w:val="22"/>
          <w:lang w:val="en-US"/>
        </w:rPr>
        <w:t xml:space="preserve">, </w:t>
      </w:r>
      <w:r w:rsidR="00AC0412" w:rsidRPr="004A5F5F">
        <w:rPr>
          <w:noProof/>
          <w:sz w:val="22"/>
          <w:szCs w:val="22"/>
          <w:lang w:val="en-US"/>
        </w:rPr>
        <w:t>30, 31</w:t>
      </w:r>
      <w:r w:rsidR="00AF4BF2">
        <w:rPr>
          <w:noProof/>
          <w:sz w:val="22"/>
          <w:szCs w:val="22"/>
          <w:lang w:val="en-US"/>
        </w:rPr>
        <w:t>]</w:t>
      </w:r>
      <w:r w:rsidRPr="004A5F5F">
        <w:rPr>
          <w:sz w:val="22"/>
          <w:szCs w:val="22"/>
          <w:lang w:val="en-US"/>
        </w:rPr>
        <w:t>.</w:t>
      </w:r>
      <w:r w:rsidRPr="004A5F5F">
        <w:rPr>
          <w:sz w:val="22"/>
          <w:szCs w:val="22"/>
          <w:lang w:val="en-GB"/>
        </w:rPr>
        <w:t xml:space="preserve"> </w:t>
      </w:r>
      <w:r w:rsidRPr="004A5F5F">
        <w:rPr>
          <w:sz w:val="22"/>
          <w:szCs w:val="22"/>
          <w:lang w:val="en-US"/>
        </w:rPr>
        <w:t xml:space="preserve">The importance of psychosocial support for </w:t>
      </w:r>
      <w:r w:rsidR="002F5129" w:rsidRPr="004A5F5F">
        <w:rPr>
          <w:sz w:val="22"/>
          <w:szCs w:val="22"/>
          <w:lang w:val="en-US"/>
        </w:rPr>
        <w:t xml:space="preserve">adolescents and young adults </w:t>
      </w:r>
      <w:r w:rsidRPr="004A5F5F">
        <w:rPr>
          <w:sz w:val="22"/>
          <w:szCs w:val="22"/>
          <w:lang w:val="en-US"/>
        </w:rPr>
        <w:t xml:space="preserve">with a chronic physical condition has been noted before </w:t>
      </w:r>
      <w:r w:rsidR="0021765C">
        <w:rPr>
          <w:noProof/>
          <w:sz w:val="22"/>
          <w:szCs w:val="22"/>
          <w:lang w:val="en-US"/>
        </w:rPr>
        <w:t>[</w:t>
      </w:r>
      <w:r w:rsidRPr="004A5F5F">
        <w:rPr>
          <w:noProof/>
          <w:sz w:val="22"/>
          <w:szCs w:val="22"/>
          <w:lang w:val="en-US"/>
        </w:rPr>
        <w:t>1</w:t>
      </w:r>
      <w:r w:rsidR="00AC0412" w:rsidRPr="004A5F5F">
        <w:rPr>
          <w:noProof/>
          <w:sz w:val="22"/>
          <w:szCs w:val="22"/>
          <w:lang w:val="en-US"/>
        </w:rPr>
        <w:t>9</w:t>
      </w:r>
      <w:r w:rsidRPr="004A5F5F">
        <w:rPr>
          <w:noProof/>
          <w:sz w:val="22"/>
          <w:szCs w:val="22"/>
          <w:lang w:val="en-US"/>
        </w:rPr>
        <w:t>-</w:t>
      </w:r>
      <w:r w:rsidR="00481C3F" w:rsidRPr="004A5F5F">
        <w:rPr>
          <w:noProof/>
          <w:sz w:val="22"/>
          <w:szCs w:val="22"/>
          <w:lang w:val="en-US"/>
        </w:rPr>
        <w:t>2</w:t>
      </w:r>
      <w:r w:rsidR="00AC0412" w:rsidRPr="004A5F5F">
        <w:rPr>
          <w:noProof/>
          <w:sz w:val="22"/>
          <w:szCs w:val="22"/>
          <w:lang w:val="en-US"/>
        </w:rPr>
        <w:t>1</w:t>
      </w:r>
      <w:r w:rsidRPr="004A5F5F">
        <w:rPr>
          <w:noProof/>
          <w:sz w:val="22"/>
          <w:szCs w:val="22"/>
          <w:lang w:val="en-US"/>
        </w:rPr>
        <w:t>, 3</w:t>
      </w:r>
      <w:r w:rsidR="00AC0412" w:rsidRPr="004A5F5F">
        <w:rPr>
          <w:noProof/>
          <w:sz w:val="22"/>
          <w:szCs w:val="22"/>
          <w:lang w:val="en-US"/>
        </w:rPr>
        <w:t>2</w:t>
      </w:r>
      <w:r w:rsidR="00AF4BF2">
        <w:rPr>
          <w:noProof/>
          <w:sz w:val="22"/>
          <w:szCs w:val="22"/>
          <w:lang w:val="en-US"/>
        </w:rPr>
        <w:t>]</w:t>
      </w:r>
      <w:r w:rsidRPr="004A5F5F">
        <w:rPr>
          <w:sz w:val="22"/>
          <w:szCs w:val="22"/>
          <w:lang w:val="en-US"/>
        </w:rPr>
        <w:t xml:space="preserve">. Still, these days, transitional care is still mostly focused on medical management issues and less attention is being paid to emotional and social aspects of growing-up with a chronic condition </w:t>
      </w:r>
      <w:r w:rsidR="0021765C">
        <w:rPr>
          <w:noProof/>
          <w:sz w:val="22"/>
          <w:szCs w:val="22"/>
          <w:lang w:val="en-US"/>
        </w:rPr>
        <w:t>[</w:t>
      </w:r>
      <w:r w:rsidRPr="004A5F5F">
        <w:rPr>
          <w:noProof/>
          <w:sz w:val="22"/>
          <w:szCs w:val="22"/>
          <w:lang w:val="en-US"/>
        </w:rPr>
        <w:t>3</w:t>
      </w:r>
      <w:r w:rsidR="00AC0412" w:rsidRPr="004A5F5F">
        <w:rPr>
          <w:noProof/>
          <w:sz w:val="22"/>
          <w:szCs w:val="22"/>
          <w:lang w:val="en-US"/>
        </w:rPr>
        <w:t>3</w:t>
      </w:r>
      <w:r w:rsidR="00AF4BF2">
        <w:rPr>
          <w:noProof/>
          <w:sz w:val="22"/>
          <w:szCs w:val="22"/>
          <w:lang w:val="en-US"/>
        </w:rPr>
        <w:t>]</w:t>
      </w:r>
      <w:r w:rsidRPr="004A5F5F">
        <w:rPr>
          <w:sz w:val="22"/>
          <w:szCs w:val="22"/>
          <w:lang w:val="en-US"/>
        </w:rPr>
        <w:t xml:space="preserve">. Yet, </w:t>
      </w:r>
      <w:r w:rsidRPr="004A5F5F">
        <w:rPr>
          <w:sz w:val="22"/>
          <w:szCs w:val="22"/>
          <w:lang w:val="en-GB"/>
        </w:rPr>
        <w:t xml:space="preserve">identifying and paying attention to adolescents’ lived experiences and needs in the areas of social participation during adolescence is essential for them achieving </w:t>
      </w:r>
      <w:r w:rsidRPr="004A5F5F">
        <w:rPr>
          <w:noProof/>
          <w:sz w:val="22"/>
          <w:szCs w:val="22"/>
          <w:lang w:val="en-GB"/>
        </w:rPr>
        <w:t xml:space="preserve">their full potential </w:t>
      </w:r>
      <w:r w:rsidRPr="004A5F5F">
        <w:rPr>
          <w:sz w:val="22"/>
          <w:szCs w:val="22"/>
          <w:lang w:val="en-GB"/>
        </w:rPr>
        <w:t xml:space="preserve">and a satisfying </w:t>
      </w:r>
      <w:r w:rsidRPr="00B137DF">
        <w:rPr>
          <w:sz w:val="22"/>
          <w:szCs w:val="22"/>
          <w:lang w:val="en-GB"/>
        </w:rPr>
        <w:t xml:space="preserve">adult </w:t>
      </w:r>
      <w:r w:rsidRPr="001F787B">
        <w:rPr>
          <w:sz w:val="22"/>
          <w:szCs w:val="22"/>
          <w:lang w:val="en-GB"/>
        </w:rPr>
        <w:t xml:space="preserve">life </w:t>
      </w:r>
      <w:r w:rsidR="0021765C">
        <w:rPr>
          <w:noProof/>
          <w:sz w:val="22"/>
          <w:szCs w:val="22"/>
          <w:lang w:val="en-GB"/>
        </w:rPr>
        <w:t>[</w:t>
      </w:r>
      <w:r w:rsidRPr="001F787B">
        <w:rPr>
          <w:noProof/>
          <w:sz w:val="22"/>
          <w:szCs w:val="22"/>
          <w:lang w:val="en-GB"/>
        </w:rPr>
        <w:t>3</w:t>
      </w:r>
      <w:r w:rsidR="0047220A" w:rsidRPr="001F787B">
        <w:rPr>
          <w:noProof/>
          <w:sz w:val="22"/>
          <w:szCs w:val="22"/>
          <w:lang w:val="en-GB"/>
        </w:rPr>
        <w:t>4</w:t>
      </w:r>
      <w:r w:rsidR="00AF4BF2">
        <w:rPr>
          <w:noProof/>
          <w:sz w:val="22"/>
          <w:szCs w:val="22"/>
          <w:lang w:val="en-GB"/>
        </w:rPr>
        <w:t>]</w:t>
      </w:r>
      <w:r w:rsidRPr="001F787B">
        <w:rPr>
          <w:sz w:val="22"/>
          <w:szCs w:val="22"/>
          <w:lang w:val="en-GB"/>
        </w:rPr>
        <w:t xml:space="preserve">. </w:t>
      </w:r>
      <w:r w:rsidR="00B137DF" w:rsidRPr="001F787B">
        <w:rPr>
          <w:sz w:val="22"/>
          <w:szCs w:val="22"/>
          <w:lang w:val="en-GB"/>
        </w:rPr>
        <w:t xml:space="preserve">Research for instance showed that not only rates of participation differ from healthy peers </w:t>
      </w:r>
      <w:r w:rsidR="0021765C">
        <w:rPr>
          <w:sz w:val="22"/>
          <w:szCs w:val="22"/>
          <w:lang w:val="en-GB"/>
        </w:rPr>
        <w:t>[</w:t>
      </w:r>
      <w:r w:rsidR="00B137DF" w:rsidRPr="001F787B">
        <w:rPr>
          <w:sz w:val="22"/>
          <w:szCs w:val="22"/>
          <w:lang w:val="en-GB"/>
        </w:rPr>
        <w:t>22</w:t>
      </w:r>
      <w:r w:rsidR="00AF4BF2">
        <w:rPr>
          <w:sz w:val="22"/>
          <w:szCs w:val="22"/>
          <w:lang w:val="en-GB"/>
        </w:rPr>
        <w:t>]</w:t>
      </w:r>
      <w:r w:rsidR="00B137DF" w:rsidRPr="001F787B">
        <w:rPr>
          <w:sz w:val="22"/>
          <w:szCs w:val="22"/>
          <w:lang w:val="en-GB"/>
        </w:rPr>
        <w:t xml:space="preserve">, but social participation can </w:t>
      </w:r>
      <w:r w:rsidR="00B137DF" w:rsidRPr="002F6E53">
        <w:rPr>
          <w:sz w:val="22"/>
          <w:szCs w:val="22"/>
          <w:lang w:val="en-GB"/>
        </w:rPr>
        <w:t xml:space="preserve">also be less diverse in young people with chronic condition, e.g., less social or skill-building activities </w:t>
      </w:r>
      <w:r w:rsidR="0021765C">
        <w:rPr>
          <w:sz w:val="22"/>
          <w:szCs w:val="22"/>
          <w:lang w:val="en-GB"/>
        </w:rPr>
        <w:t>[</w:t>
      </w:r>
      <w:r w:rsidR="00B137DF" w:rsidRPr="002F6E53">
        <w:rPr>
          <w:sz w:val="22"/>
          <w:szCs w:val="22"/>
          <w:lang w:val="en-GB"/>
        </w:rPr>
        <w:t>35</w:t>
      </w:r>
      <w:r w:rsidR="00AF4BF2">
        <w:rPr>
          <w:sz w:val="22"/>
          <w:szCs w:val="22"/>
          <w:lang w:val="en-GB"/>
        </w:rPr>
        <w:t>]</w:t>
      </w:r>
      <w:r w:rsidR="00B137DF" w:rsidRPr="002F6E53">
        <w:rPr>
          <w:sz w:val="22"/>
          <w:szCs w:val="22"/>
          <w:lang w:val="en-GB"/>
        </w:rPr>
        <w:t xml:space="preserve">. </w:t>
      </w:r>
      <w:r w:rsidRPr="002F6E53">
        <w:rPr>
          <w:sz w:val="22"/>
          <w:szCs w:val="22"/>
          <w:lang w:val="en-GB"/>
        </w:rPr>
        <w:t>Therefore, it is strongly</w:t>
      </w:r>
      <w:r w:rsidRPr="001F787B">
        <w:rPr>
          <w:sz w:val="22"/>
          <w:szCs w:val="22"/>
          <w:lang w:val="en-GB"/>
        </w:rPr>
        <w:t xml:space="preserve"> recommended </w:t>
      </w:r>
      <w:r w:rsidRPr="001F787B">
        <w:rPr>
          <w:noProof/>
          <w:sz w:val="22"/>
          <w:szCs w:val="22"/>
          <w:lang w:val="en-GB"/>
        </w:rPr>
        <w:t>to monitor patient-reported outcomes on a regular basis. To this end, specific tools are available, for psychosocial screening</w:t>
      </w:r>
      <w:r w:rsidRPr="004A5F5F">
        <w:rPr>
          <w:noProof/>
          <w:sz w:val="22"/>
          <w:szCs w:val="22"/>
          <w:lang w:val="en-GB"/>
        </w:rPr>
        <w:t xml:space="preserve">, for encouraging independent behaviors </w:t>
      </w:r>
      <w:r w:rsidR="0021765C">
        <w:rPr>
          <w:noProof/>
          <w:sz w:val="22"/>
          <w:szCs w:val="22"/>
          <w:lang w:val="en-GB"/>
        </w:rPr>
        <w:t>(</w:t>
      </w:r>
      <w:r w:rsidRPr="004A5F5F">
        <w:rPr>
          <w:noProof/>
          <w:sz w:val="22"/>
          <w:szCs w:val="22"/>
          <w:lang w:val="en-GB"/>
        </w:rPr>
        <w:t xml:space="preserve">through the use of individual transition plans such as the Skills for Growing Up tool </w:t>
      </w:r>
      <w:r w:rsidR="0021765C">
        <w:rPr>
          <w:noProof/>
          <w:sz w:val="22"/>
          <w:szCs w:val="22"/>
          <w:lang w:val="en-GB"/>
        </w:rPr>
        <w:t>[</w:t>
      </w:r>
      <w:r w:rsidR="00AC0412" w:rsidRPr="004A5F5F">
        <w:rPr>
          <w:noProof/>
          <w:sz w:val="22"/>
          <w:szCs w:val="22"/>
          <w:lang w:val="en-GB"/>
        </w:rPr>
        <w:t>30</w:t>
      </w:r>
      <w:r w:rsidR="00AF4BF2">
        <w:rPr>
          <w:noProof/>
          <w:sz w:val="22"/>
          <w:szCs w:val="22"/>
          <w:lang w:val="en-GB"/>
        </w:rPr>
        <w:t>]</w:t>
      </w:r>
      <w:r w:rsidRPr="004A5F5F">
        <w:rPr>
          <w:noProof/>
          <w:sz w:val="22"/>
          <w:szCs w:val="22"/>
          <w:lang w:val="en-GB"/>
        </w:rPr>
        <w:t xml:space="preserve">), and for monitoring HRQoL </w:t>
      </w:r>
      <w:r w:rsidR="0021765C">
        <w:rPr>
          <w:noProof/>
          <w:sz w:val="22"/>
          <w:szCs w:val="22"/>
          <w:lang w:val="en-GB"/>
        </w:rPr>
        <w:t>[</w:t>
      </w:r>
      <w:r w:rsidR="00481C3F" w:rsidRPr="004A5F5F">
        <w:rPr>
          <w:noProof/>
          <w:sz w:val="22"/>
          <w:szCs w:val="22"/>
          <w:lang w:val="en-GB"/>
        </w:rPr>
        <w:t>3</w:t>
      </w:r>
      <w:r w:rsidR="00AC0412" w:rsidRPr="004A5F5F">
        <w:rPr>
          <w:noProof/>
          <w:sz w:val="22"/>
          <w:szCs w:val="22"/>
          <w:lang w:val="en-GB"/>
        </w:rPr>
        <w:t>1</w:t>
      </w:r>
      <w:r w:rsidR="00AF4BF2">
        <w:rPr>
          <w:noProof/>
          <w:sz w:val="22"/>
          <w:szCs w:val="22"/>
          <w:lang w:val="en-GB"/>
        </w:rPr>
        <w:t>]</w:t>
      </w:r>
      <w:r w:rsidRPr="004A5F5F">
        <w:rPr>
          <w:noProof/>
          <w:sz w:val="22"/>
          <w:szCs w:val="22"/>
          <w:lang w:val="en-GB"/>
        </w:rPr>
        <w:t xml:space="preserve"> </w:t>
      </w:r>
      <w:r w:rsidRPr="004A5F5F">
        <w:rPr>
          <w:sz w:val="22"/>
          <w:szCs w:val="22"/>
          <w:lang w:val="en-GB"/>
        </w:rPr>
        <w:t xml:space="preserve">during medical consultations in paediatric and adult </w:t>
      </w:r>
      <w:r w:rsidR="002822F1" w:rsidRPr="004A5F5F">
        <w:rPr>
          <w:sz w:val="22"/>
          <w:szCs w:val="22"/>
          <w:lang w:val="en-GB"/>
        </w:rPr>
        <w:t xml:space="preserve">rehabilitation </w:t>
      </w:r>
      <w:r w:rsidRPr="004A5F5F">
        <w:rPr>
          <w:sz w:val="22"/>
          <w:szCs w:val="22"/>
          <w:lang w:val="en-GB"/>
        </w:rPr>
        <w:t>care</w:t>
      </w:r>
      <w:r w:rsidRPr="004A5F5F">
        <w:rPr>
          <w:sz w:val="22"/>
          <w:szCs w:val="22"/>
          <w:lang w:val="en-US"/>
        </w:rPr>
        <w:t xml:space="preserve">. </w:t>
      </w:r>
    </w:p>
    <w:p w:rsidR="00E65490" w:rsidRPr="00907064" w:rsidRDefault="0098360F" w:rsidP="000F3F6B">
      <w:pPr>
        <w:spacing w:line="480" w:lineRule="auto"/>
        <w:ind w:firstLine="708"/>
        <w:rPr>
          <w:color w:val="FF0000"/>
          <w:sz w:val="22"/>
          <w:szCs w:val="22"/>
          <w:lang w:val="en-US"/>
        </w:rPr>
      </w:pPr>
      <w:r w:rsidRPr="004A5F5F">
        <w:rPr>
          <w:sz w:val="22"/>
          <w:szCs w:val="22"/>
          <w:lang w:val="en-US"/>
        </w:rPr>
        <w:t xml:space="preserve">Benefits recipients often followed special education during adolescence, were often absent from school or work during adolescence and experienced more barriers in school/work participation in young adulthood, underlining the need to pay attention to and to provide support on school and work participation </w:t>
      </w:r>
      <w:r w:rsidR="00091D30" w:rsidRPr="00CB5208">
        <w:rPr>
          <w:noProof/>
          <w:sz w:val="22"/>
          <w:szCs w:val="22"/>
          <w:lang w:val="en-US"/>
        </w:rPr>
        <w:t>[3, 36]</w:t>
      </w:r>
      <w:r w:rsidR="00091D30" w:rsidRPr="00CB5208">
        <w:rPr>
          <w:sz w:val="22"/>
          <w:szCs w:val="22"/>
          <w:lang w:val="en-US"/>
        </w:rPr>
        <w:t xml:space="preserve">. </w:t>
      </w:r>
      <w:r w:rsidRPr="004A5F5F">
        <w:rPr>
          <w:sz w:val="22"/>
          <w:szCs w:val="22"/>
          <w:lang w:val="en-US"/>
        </w:rPr>
        <w:t xml:space="preserve">Being engaged in mainstream education and doing temporal or seasonal work during adolescence is </w:t>
      </w:r>
      <w:r w:rsidR="00091D30" w:rsidRPr="00CB5208">
        <w:rPr>
          <w:sz w:val="22"/>
          <w:szCs w:val="22"/>
          <w:lang w:val="en-US"/>
        </w:rPr>
        <w:t>important for youth with disabilities because it could provide a context for developing life skills, and exploring interests and abilities [</w:t>
      </w:r>
      <w:r w:rsidR="00091D30" w:rsidRPr="00CB5208">
        <w:rPr>
          <w:noProof/>
          <w:sz w:val="22"/>
          <w:szCs w:val="22"/>
          <w:lang w:val="en-US"/>
        </w:rPr>
        <w:t>11, 36]</w:t>
      </w:r>
      <w:r w:rsidRPr="004A5F5F">
        <w:rPr>
          <w:sz w:val="22"/>
          <w:szCs w:val="22"/>
          <w:lang w:val="en-US"/>
        </w:rPr>
        <w:t>. In addition</w:t>
      </w:r>
      <w:r w:rsidR="00091D30" w:rsidRPr="00CB5208">
        <w:rPr>
          <w:sz w:val="22"/>
          <w:szCs w:val="22"/>
          <w:lang w:val="en-US"/>
        </w:rPr>
        <w:t xml:space="preserve">, at schools for special education, </w:t>
      </w:r>
      <w:r w:rsidR="00091D30" w:rsidRPr="00500DEB">
        <w:rPr>
          <w:sz w:val="22"/>
          <w:szCs w:val="22"/>
          <w:lang w:val="en-US"/>
        </w:rPr>
        <w:t>adolescents receive a great deal of assistance from their parents, friends, and service providers, which could hinder their opportunities to develop skills and to make their own decisions [</w:t>
      </w:r>
      <w:r w:rsidR="00091D30" w:rsidRPr="00500DEB">
        <w:rPr>
          <w:noProof/>
          <w:sz w:val="22"/>
          <w:szCs w:val="22"/>
          <w:lang w:val="en-US"/>
        </w:rPr>
        <w:t>37]</w:t>
      </w:r>
      <w:r w:rsidR="00091D30" w:rsidRPr="00500DEB">
        <w:rPr>
          <w:sz w:val="22"/>
          <w:szCs w:val="22"/>
          <w:lang w:val="en-US"/>
        </w:rPr>
        <w:t xml:space="preserve">. Thus, being encouraged to develop independent life skills may also be essential, especially for adolescents in special education settings. </w:t>
      </w:r>
      <w:r w:rsidRPr="00500DEB">
        <w:rPr>
          <w:sz w:val="22"/>
          <w:szCs w:val="22"/>
          <w:lang w:val="en-US"/>
        </w:rPr>
        <w:t xml:space="preserve">Such life skills include </w:t>
      </w:r>
      <w:r w:rsidRPr="00500DEB">
        <w:rPr>
          <w:sz w:val="22"/>
          <w:szCs w:val="22"/>
          <w:lang w:val="en-GB"/>
        </w:rPr>
        <w:t xml:space="preserve">“psychosocial abilities for adaptive and positive behaviour that enable individuals to deal effectively with the demands and challenges of everyday life” </w:t>
      </w:r>
      <w:r w:rsidR="0021765C" w:rsidRPr="00500DEB">
        <w:rPr>
          <w:noProof/>
          <w:sz w:val="22"/>
          <w:szCs w:val="22"/>
          <w:lang w:val="en-GB"/>
        </w:rPr>
        <w:t>[</w:t>
      </w:r>
      <w:r w:rsidR="0047220A" w:rsidRPr="00500DEB">
        <w:rPr>
          <w:noProof/>
          <w:sz w:val="22"/>
          <w:szCs w:val="22"/>
          <w:lang w:val="en-GB"/>
        </w:rPr>
        <w:t>38</w:t>
      </w:r>
      <w:r w:rsidR="00AF4BF2" w:rsidRPr="00697AF1">
        <w:rPr>
          <w:noProof/>
          <w:sz w:val="22"/>
          <w:szCs w:val="22"/>
          <w:lang w:val="en-GB"/>
        </w:rPr>
        <w:t>]</w:t>
      </w:r>
      <w:r w:rsidRPr="00697AF1">
        <w:rPr>
          <w:sz w:val="22"/>
          <w:szCs w:val="22"/>
          <w:lang w:val="en-GB"/>
        </w:rPr>
        <w:t>.</w:t>
      </w:r>
      <w:r w:rsidR="000F3F6B" w:rsidRPr="00697AF1">
        <w:rPr>
          <w:rFonts w:eastAsia="Cambria"/>
          <w:i/>
          <w:sz w:val="22"/>
          <w:szCs w:val="22"/>
          <w:lang w:val="en-US"/>
        </w:rPr>
        <w:t xml:space="preserve"> </w:t>
      </w:r>
      <w:r w:rsidR="000F3F6B" w:rsidRPr="00907064">
        <w:rPr>
          <w:rFonts w:eastAsia="Cambria"/>
          <w:color w:val="FF0000"/>
          <w:sz w:val="22"/>
          <w:szCs w:val="22"/>
          <w:lang w:val="en-US"/>
        </w:rPr>
        <w:t xml:space="preserve">It is important for young people with a childhood onset of chronic condition to make </w:t>
      </w:r>
      <w:r w:rsidR="000F3F6B" w:rsidRPr="00907064">
        <w:rPr>
          <w:rFonts w:eastAsia="Cambria"/>
          <w:color w:val="FF0000"/>
          <w:sz w:val="22"/>
          <w:szCs w:val="22"/>
          <w:lang w:val="en-GB"/>
        </w:rPr>
        <w:t xml:space="preserve">a well-considered decision on the application for disability benefit. A need for financial compensation and support at finding and maintaining employment could be reasons to apply. </w:t>
      </w:r>
      <w:r w:rsidR="000F3F6B" w:rsidRPr="00907064">
        <w:rPr>
          <w:rFonts w:eastAsia="Cambria"/>
          <w:color w:val="FF0000"/>
          <w:sz w:val="22"/>
          <w:szCs w:val="22"/>
          <w:lang w:val="en-GB"/>
        </w:rPr>
        <w:lastRenderedPageBreak/>
        <w:t xml:space="preserve">However, being a benefit applicant could also negatively influence employment opportunities; for example, by reinforcing an employers’ prejudice. </w:t>
      </w:r>
      <w:r w:rsidR="00500DEB" w:rsidRPr="00907064">
        <w:rPr>
          <w:rFonts w:eastAsia="Cambria"/>
          <w:color w:val="FF0000"/>
          <w:sz w:val="22"/>
          <w:szCs w:val="22"/>
          <w:lang w:val="en-GB"/>
        </w:rPr>
        <w:t>Therefore, rehabilitations professionals are recommended to discuss these advantages and disadvantages on time with young people and their parents.</w:t>
      </w:r>
    </w:p>
    <w:p w:rsidR="002162B9" w:rsidRDefault="002162B9" w:rsidP="00C33E5E">
      <w:pPr>
        <w:spacing w:line="480" w:lineRule="auto"/>
        <w:ind w:firstLine="708"/>
        <w:rPr>
          <w:sz w:val="22"/>
          <w:szCs w:val="22"/>
          <w:lang w:val="en-GB"/>
        </w:rPr>
      </w:pPr>
      <w:r w:rsidRPr="00500DEB">
        <w:rPr>
          <w:sz w:val="22"/>
          <w:szCs w:val="22"/>
          <w:lang w:val="en-GB"/>
        </w:rPr>
        <w:t>Benefit recipients who are fit to work could get support in finding and sustaining employment. Still, we found that the employment rates of benefit recipients did not differ from employment rates of benefit non-recipients. A low work ability among benefit recipients, could be an explanation of this finding. However, we had no information on the work ability of our respondents and were thus not able to distinguish between benefit recipients who</w:t>
      </w:r>
      <w:r w:rsidRPr="004A5F5F">
        <w:rPr>
          <w:sz w:val="22"/>
          <w:szCs w:val="22"/>
          <w:lang w:val="en-GB"/>
        </w:rPr>
        <w:t xml:space="preserve"> were (partially) able to work or those not able to work. Since we found an association between the extent of physical disability and the likelihood of a benefit claim, this deserves further investigation. To unravel differences in social participation and psychosocial outcomes, subgroups of benefit recipients should be studied. T</w:t>
      </w:r>
      <w:r w:rsidRPr="004A5F5F">
        <w:rPr>
          <w:color w:val="141413"/>
          <w:sz w:val="22"/>
          <w:szCs w:val="22"/>
          <w:lang w:val="en-US"/>
        </w:rPr>
        <w:t xml:space="preserve">he employment rates of benefit recipients and non-recipients are still lower than the employment rates of healthy age-mates (63.3%) </w:t>
      </w:r>
      <w:r>
        <w:rPr>
          <w:color w:val="141413"/>
          <w:sz w:val="22"/>
          <w:szCs w:val="22"/>
          <w:lang w:val="en-US"/>
        </w:rPr>
        <w:t>[39]</w:t>
      </w:r>
      <w:r w:rsidRPr="004A5F5F">
        <w:rPr>
          <w:color w:val="141413"/>
          <w:sz w:val="22"/>
          <w:szCs w:val="22"/>
          <w:lang w:val="en-US"/>
        </w:rPr>
        <w:t>, indicating the need for support at finding and maintaining employment for young people with chronic physical conditions</w:t>
      </w:r>
      <w:r>
        <w:rPr>
          <w:color w:val="141413"/>
          <w:sz w:val="22"/>
          <w:szCs w:val="22"/>
          <w:lang w:val="en-US"/>
        </w:rPr>
        <w:t>.</w:t>
      </w:r>
      <w:r w:rsidR="00C34919" w:rsidRPr="00C34919">
        <w:rPr>
          <w:sz w:val="22"/>
          <w:szCs w:val="22"/>
          <w:lang w:val="en-US"/>
        </w:rPr>
        <w:t xml:space="preserve"> </w:t>
      </w:r>
      <w:r w:rsidR="00C34919" w:rsidRPr="004A5F5F">
        <w:rPr>
          <w:sz w:val="22"/>
          <w:szCs w:val="22"/>
          <w:lang w:val="en-US"/>
        </w:rPr>
        <w:t>R</w:t>
      </w:r>
      <w:r w:rsidR="00C34919" w:rsidRPr="004A5F5F">
        <w:rPr>
          <w:sz w:val="22"/>
          <w:szCs w:val="22"/>
          <w:lang w:val="en-GB"/>
        </w:rPr>
        <w:t xml:space="preserve">ecently, Dutch legalisations aimed at improving the work participation among young people with chronic physical conditions </w:t>
      </w:r>
      <w:r w:rsidR="003D3CEF">
        <w:rPr>
          <w:sz w:val="22"/>
          <w:szCs w:val="22"/>
          <w:lang w:val="en-GB"/>
        </w:rPr>
        <w:t>we</w:t>
      </w:r>
      <w:r w:rsidR="00C34919" w:rsidRPr="004A5F5F">
        <w:rPr>
          <w:sz w:val="22"/>
          <w:szCs w:val="22"/>
          <w:lang w:val="en-GB"/>
        </w:rPr>
        <w:t>re amended. Young people with chronic physical conditions who do not have any work ability receive disability payments. In contrast, young people with chronic physical conditions who are (partially) able to work, should be supported by municipalities to find competitive employment. However, nowadays resources for providing support are lessened. Since disability benefit recipients are a vulnerable group, support on</w:t>
      </w:r>
      <w:r w:rsidR="00C34919">
        <w:rPr>
          <w:sz w:val="22"/>
          <w:szCs w:val="22"/>
          <w:lang w:val="en-GB"/>
        </w:rPr>
        <w:t xml:space="preserve"> this group should be priority.</w:t>
      </w:r>
    </w:p>
    <w:p w:rsidR="008152A7" w:rsidRPr="00907064" w:rsidRDefault="0015036C" w:rsidP="00551C94">
      <w:pPr>
        <w:spacing w:line="480" w:lineRule="auto"/>
        <w:ind w:firstLine="708"/>
        <w:rPr>
          <w:color w:val="FF0000"/>
          <w:sz w:val="22"/>
          <w:szCs w:val="22"/>
          <w:lang w:val="en-US"/>
        </w:rPr>
      </w:pPr>
      <w:r w:rsidRPr="004A5F5F">
        <w:rPr>
          <w:sz w:val="22"/>
          <w:szCs w:val="22"/>
          <w:lang w:val="en-US"/>
        </w:rPr>
        <w:t>We also found that benefit recipients were more often financially self-supporting tha</w:t>
      </w:r>
      <w:r w:rsidR="00A37AB8" w:rsidRPr="004A5F5F">
        <w:rPr>
          <w:sz w:val="22"/>
          <w:szCs w:val="22"/>
          <w:lang w:val="en-US"/>
        </w:rPr>
        <w:t>n</w:t>
      </w:r>
      <w:r w:rsidRPr="004A5F5F">
        <w:rPr>
          <w:sz w:val="22"/>
          <w:szCs w:val="22"/>
          <w:lang w:val="en-US"/>
        </w:rPr>
        <w:t xml:space="preserve"> non-recipients (100% vs. 29%). This suggest</w:t>
      </w:r>
      <w:r w:rsidR="003D3CEF">
        <w:rPr>
          <w:sz w:val="22"/>
          <w:szCs w:val="22"/>
          <w:lang w:val="en-US"/>
        </w:rPr>
        <w:t>s</w:t>
      </w:r>
      <w:r w:rsidRPr="004A5F5F">
        <w:rPr>
          <w:sz w:val="22"/>
          <w:szCs w:val="22"/>
          <w:lang w:val="en-US"/>
        </w:rPr>
        <w:t xml:space="preserve"> that the benefits are substantial, and could in fact be an inducement for the young people with chronic physical conditions to apply for these benefits.</w:t>
      </w:r>
      <w:r w:rsidR="003D3CEF">
        <w:rPr>
          <w:sz w:val="22"/>
          <w:szCs w:val="22"/>
          <w:lang w:val="en-US"/>
        </w:rPr>
        <w:t xml:space="preserve"> </w:t>
      </w:r>
      <w:r w:rsidR="003D3CEF" w:rsidRPr="00907064">
        <w:rPr>
          <w:color w:val="FF0000"/>
          <w:sz w:val="22"/>
          <w:szCs w:val="22"/>
          <w:lang w:val="en-US"/>
        </w:rPr>
        <w:t>Still</w:t>
      </w:r>
      <w:r w:rsidR="00C34919" w:rsidRPr="00907064">
        <w:rPr>
          <w:color w:val="FF0000"/>
          <w:sz w:val="22"/>
          <w:szCs w:val="22"/>
          <w:lang w:val="en-US"/>
        </w:rPr>
        <w:t xml:space="preserve">, </w:t>
      </w:r>
      <w:r w:rsidR="008152A7" w:rsidRPr="00907064">
        <w:rPr>
          <w:color w:val="FF0000"/>
          <w:sz w:val="22"/>
          <w:szCs w:val="22"/>
          <w:lang w:val="en-US"/>
        </w:rPr>
        <w:t>people could be motivated for a job for other reasons than income</w:t>
      </w:r>
      <w:r w:rsidR="00C34919" w:rsidRPr="00907064">
        <w:rPr>
          <w:color w:val="FF0000"/>
          <w:sz w:val="22"/>
          <w:szCs w:val="22"/>
          <w:lang w:val="en-US"/>
        </w:rPr>
        <w:t>, e.g. psychological</w:t>
      </w:r>
      <w:r w:rsidR="00C34919" w:rsidRPr="00907064">
        <w:rPr>
          <w:color w:val="FF0000"/>
          <w:sz w:val="22"/>
          <w:szCs w:val="22"/>
          <w:lang w:val="en-GB"/>
        </w:rPr>
        <w:t xml:space="preserve"> well-being, social interactions, and </w:t>
      </w:r>
      <w:r w:rsidR="005F09EE" w:rsidRPr="00907064">
        <w:rPr>
          <w:color w:val="FF0000"/>
          <w:sz w:val="22"/>
          <w:szCs w:val="22"/>
          <w:lang w:val="en-GB"/>
        </w:rPr>
        <w:t xml:space="preserve">self-development </w:t>
      </w:r>
      <w:r w:rsidR="00C34919" w:rsidRPr="00907064">
        <w:rPr>
          <w:noProof/>
          <w:color w:val="FF0000"/>
          <w:sz w:val="22"/>
          <w:szCs w:val="22"/>
          <w:lang w:val="en-GB"/>
        </w:rPr>
        <w:t>[3, 4]</w:t>
      </w:r>
      <w:r w:rsidR="005F09EE" w:rsidRPr="00907064">
        <w:rPr>
          <w:color w:val="FF0000"/>
          <w:sz w:val="22"/>
          <w:szCs w:val="22"/>
          <w:lang w:val="en-US"/>
        </w:rPr>
        <w:t>. Therefore</w:t>
      </w:r>
      <w:r w:rsidR="003D3CEF" w:rsidRPr="00907064">
        <w:rPr>
          <w:color w:val="FF0000"/>
          <w:sz w:val="22"/>
          <w:szCs w:val="22"/>
          <w:lang w:val="en-US"/>
        </w:rPr>
        <w:t>,</w:t>
      </w:r>
      <w:r w:rsidR="00C34919" w:rsidRPr="00907064">
        <w:rPr>
          <w:color w:val="FF0000"/>
          <w:sz w:val="22"/>
          <w:szCs w:val="22"/>
          <w:lang w:val="en-US"/>
        </w:rPr>
        <w:t xml:space="preserve"> financial support </w:t>
      </w:r>
      <w:r w:rsidR="003D3CEF" w:rsidRPr="00907064">
        <w:rPr>
          <w:color w:val="FF0000"/>
          <w:sz w:val="22"/>
          <w:szCs w:val="22"/>
          <w:lang w:val="en-US"/>
        </w:rPr>
        <w:t xml:space="preserve">does </w:t>
      </w:r>
      <w:r w:rsidR="00C34919" w:rsidRPr="00907064">
        <w:rPr>
          <w:color w:val="FF0000"/>
          <w:sz w:val="22"/>
          <w:szCs w:val="22"/>
          <w:lang w:val="en-US"/>
        </w:rPr>
        <w:t>not</w:t>
      </w:r>
      <w:r w:rsidR="00645718" w:rsidRPr="00907064">
        <w:rPr>
          <w:color w:val="FF0000"/>
          <w:sz w:val="22"/>
          <w:szCs w:val="22"/>
          <w:lang w:val="en-US"/>
        </w:rPr>
        <w:t xml:space="preserve"> necessarily</w:t>
      </w:r>
      <w:r w:rsidR="00C34919" w:rsidRPr="00907064">
        <w:rPr>
          <w:color w:val="FF0000"/>
          <w:sz w:val="22"/>
          <w:szCs w:val="22"/>
          <w:lang w:val="en-US"/>
        </w:rPr>
        <w:t xml:space="preserve"> </w:t>
      </w:r>
      <w:r w:rsidR="003D3CEF" w:rsidRPr="00907064">
        <w:rPr>
          <w:color w:val="FF0000"/>
          <w:sz w:val="22"/>
          <w:szCs w:val="22"/>
          <w:lang w:val="en-US"/>
        </w:rPr>
        <w:t>produce</w:t>
      </w:r>
      <w:r w:rsidR="00C34919" w:rsidRPr="00907064">
        <w:rPr>
          <w:color w:val="FF0000"/>
          <w:sz w:val="22"/>
          <w:szCs w:val="22"/>
          <w:lang w:val="en-US"/>
        </w:rPr>
        <w:t xml:space="preserve"> a negative influence on </w:t>
      </w:r>
      <w:r w:rsidR="003D3CEF" w:rsidRPr="00907064">
        <w:rPr>
          <w:color w:val="FF0000"/>
          <w:sz w:val="22"/>
          <w:szCs w:val="22"/>
          <w:lang w:val="en-US"/>
        </w:rPr>
        <w:t xml:space="preserve">work </w:t>
      </w:r>
      <w:r w:rsidR="00C34919" w:rsidRPr="00907064">
        <w:rPr>
          <w:color w:val="FF0000"/>
          <w:sz w:val="22"/>
          <w:szCs w:val="22"/>
          <w:lang w:val="en-US"/>
        </w:rPr>
        <w:t xml:space="preserve">participation. </w:t>
      </w:r>
    </w:p>
    <w:p w:rsidR="00BB07F3" w:rsidRPr="004A5F5F" w:rsidRDefault="00BB07F3" w:rsidP="00076CA9">
      <w:pPr>
        <w:spacing w:line="480" w:lineRule="auto"/>
        <w:ind w:firstLine="708"/>
        <w:rPr>
          <w:sz w:val="22"/>
          <w:szCs w:val="22"/>
          <w:lang w:val="en-GB"/>
        </w:rPr>
      </w:pPr>
      <w:r w:rsidRPr="004A5F5F">
        <w:rPr>
          <w:sz w:val="22"/>
          <w:szCs w:val="22"/>
          <w:lang w:val="en-GB"/>
        </w:rPr>
        <w:lastRenderedPageBreak/>
        <w:t xml:space="preserve">Our study included a large sample of young </w:t>
      </w:r>
      <w:r w:rsidR="0057668E" w:rsidRPr="004A5F5F">
        <w:rPr>
          <w:sz w:val="22"/>
          <w:szCs w:val="22"/>
          <w:lang w:val="en-GB"/>
        </w:rPr>
        <w:t xml:space="preserve">persons </w:t>
      </w:r>
      <w:r w:rsidRPr="004A5F5F">
        <w:rPr>
          <w:sz w:val="22"/>
          <w:szCs w:val="22"/>
          <w:lang w:val="en-GB"/>
        </w:rPr>
        <w:t xml:space="preserve">with a variety of chronic </w:t>
      </w:r>
      <w:r w:rsidR="002822F1" w:rsidRPr="004A5F5F">
        <w:rPr>
          <w:sz w:val="22"/>
          <w:szCs w:val="22"/>
          <w:lang w:val="en-GB"/>
        </w:rPr>
        <w:t xml:space="preserve">physical </w:t>
      </w:r>
      <w:r w:rsidRPr="004A5F5F">
        <w:rPr>
          <w:sz w:val="22"/>
          <w:szCs w:val="22"/>
          <w:lang w:val="en-GB"/>
        </w:rPr>
        <w:t xml:space="preserve">conditions. The sample was heterogeneous in terms of congenital and acquired conditions. Yet this heterogeneity made it impossible to explore differences between benefit recipients and non-recipients within all included diagnosis groups. </w:t>
      </w:r>
      <w:r w:rsidR="0057668E" w:rsidRPr="004A5F5F">
        <w:rPr>
          <w:sz w:val="22"/>
          <w:szCs w:val="22"/>
          <w:lang w:val="en-GB"/>
        </w:rPr>
        <w:t xml:space="preserve">However, we analysed associations between receiving disability benefits and the five most common diagnoses, and found no significant associations. </w:t>
      </w:r>
      <w:r w:rsidRPr="004A5F5F">
        <w:rPr>
          <w:sz w:val="22"/>
          <w:szCs w:val="22"/>
          <w:lang w:val="en-GB"/>
        </w:rPr>
        <w:t xml:space="preserve">In addition, studying chronic </w:t>
      </w:r>
      <w:r w:rsidR="00670550" w:rsidRPr="004A5F5F">
        <w:rPr>
          <w:sz w:val="22"/>
          <w:szCs w:val="22"/>
          <w:lang w:val="en-GB"/>
        </w:rPr>
        <w:t xml:space="preserve">physical </w:t>
      </w:r>
      <w:r w:rsidRPr="004A5F5F">
        <w:rPr>
          <w:sz w:val="22"/>
          <w:szCs w:val="22"/>
          <w:lang w:val="en-GB"/>
        </w:rPr>
        <w:t xml:space="preserve">conditions in general could be considered as a strength, since all young people growing up with a chronic </w:t>
      </w:r>
      <w:r w:rsidR="00670550" w:rsidRPr="004A5F5F">
        <w:rPr>
          <w:sz w:val="22"/>
          <w:szCs w:val="22"/>
          <w:lang w:val="en-GB"/>
        </w:rPr>
        <w:t xml:space="preserve">physical </w:t>
      </w:r>
      <w:r w:rsidRPr="004A5F5F">
        <w:rPr>
          <w:sz w:val="22"/>
          <w:szCs w:val="22"/>
          <w:lang w:val="en-GB"/>
        </w:rPr>
        <w:t>condition face the similar adaptive challenges.</w:t>
      </w:r>
    </w:p>
    <w:p w:rsidR="00076CA9" w:rsidRPr="00500DEB" w:rsidRDefault="00BB07F3" w:rsidP="00076CA9">
      <w:pPr>
        <w:spacing w:line="480" w:lineRule="auto"/>
        <w:ind w:firstLine="708"/>
        <w:rPr>
          <w:sz w:val="22"/>
          <w:szCs w:val="22"/>
          <w:lang w:val="en-GB"/>
        </w:rPr>
      </w:pPr>
      <w:r w:rsidRPr="004A5F5F">
        <w:rPr>
          <w:sz w:val="22"/>
          <w:szCs w:val="22"/>
          <w:lang w:val="en-GB"/>
        </w:rPr>
        <w:t xml:space="preserve">The survey non-response was substantial </w:t>
      </w:r>
      <w:r w:rsidR="0021765C">
        <w:rPr>
          <w:sz w:val="22"/>
          <w:szCs w:val="22"/>
          <w:lang w:val="en-GB"/>
        </w:rPr>
        <w:t>(</w:t>
      </w:r>
      <w:r w:rsidRPr="004A5F5F">
        <w:rPr>
          <w:sz w:val="22"/>
          <w:szCs w:val="22"/>
          <w:lang w:val="en-GB"/>
        </w:rPr>
        <w:t xml:space="preserve">48.2%) especially among males and young adults of non-Dutch ethnicity. This may have affected the outcomes, </w:t>
      </w:r>
      <w:r w:rsidR="00566976">
        <w:rPr>
          <w:sz w:val="22"/>
          <w:szCs w:val="22"/>
          <w:lang w:val="en-GB"/>
        </w:rPr>
        <w:t>as previous research shows that male gender is a prognostic factor for work participat</w:t>
      </w:r>
      <w:r w:rsidR="0021765C">
        <w:rPr>
          <w:sz w:val="22"/>
          <w:szCs w:val="22"/>
          <w:lang w:val="en-GB"/>
        </w:rPr>
        <w:t>ion [</w:t>
      </w:r>
      <w:r w:rsidR="00144537">
        <w:rPr>
          <w:sz w:val="22"/>
          <w:szCs w:val="22"/>
          <w:lang w:val="en-GB"/>
        </w:rPr>
        <w:t>40</w:t>
      </w:r>
      <w:r w:rsidR="00AF4BF2">
        <w:rPr>
          <w:sz w:val="22"/>
          <w:szCs w:val="22"/>
          <w:lang w:val="en-GB"/>
        </w:rPr>
        <w:t>]</w:t>
      </w:r>
      <w:r w:rsidR="00566976">
        <w:rPr>
          <w:sz w:val="22"/>
          <w:szCs w:val="22"/>
          <w:lang w:val="en-GB"/>
        </w:rPr>
        <w:t xml:space="preserve">. Also, we found that </w:t>
      </w:r>
      <w:r w:rsidRPr="004A5F5F">
        <w:rPr>
          <w:sz w:val="22"/>
          <w:szCs w:val="22"/>
          <w:lang w:val="en-GB"/>
        </w:rPr>
        <w:t xml:space="preserve">gender was related to a disability benefit claim. </w:t>
      </w:r>
      <w:r w:rsidR="00D946CA" w:rsidRPr="004A5F5F">
        <w:rPr>
          <w:sz w:val="22"/>
          <w:szCs w:val="22"/>
          <w:lang w:val="en-GB"/>
        </w:rPr>
        <w:t>Last</w:t>
      </w:r>
      <w:r w:rsidRPr="004A5F5F">
        <w:rPr>
          <w:sz w:val="22"/>
          <w:szCs w:val="22"/>
          <w:lang w:val="en-GB"/>
        </w:rPr>
        <w:t xml:space="preserve">, at T0 we only included the short-version of the HRQoL questionnaire. </w:t>
      </w:r>
      <w:r w:rsidRPr="00500DEB">
        <w:rPr>
          <w:sz w:val="22"/>
          <w:szCs w:val="22"/>
          <w:lang w:val="en-GB"/>
        </w:rPr>
        <w:t xml:space="preserve">Therefore, it was not possible to investigate associations between quality of life domains and the likelihood of receiving disability benefits. </w:t>
      </w:r>
    </w:p>
    <w:p w:rsidR="00551C94" w:rsidRPr="00907064" w:rsidRDefault="009749E4" w:rsidP="00076CA9">
      <w:pPr>
        <w:spacing w:line="480" w:lineRule="auto"/>
        <w:ind w:firstLine="708"/>
        <w:rPr>
          <w:color w:val="FF0000"/>
          <w:sz w:val="22"/>
          <w:szCs w:val="22"/>
          <w:lang w:val="en-GB"/>
        </w:rPr>
      </w:pPr>
      <w:r w:rsidRPr="00907064">
        <w:rPr>
          <w:color w:val="FF0000"/>
          <w:sz w:val="22"/>
          <w:szCs w:val="22"/>
          <w:lang w:val="en-GB"/>
        </w:rPr>
        <w:t>Only personal or internal factors were included in our predictive model. But the likelihood of a disability benefit claim also depends on social or external facto</w:t>
      </w:r>
      <w:bookmarkStart w:id="0" w:name="_GoBack"/>
      <w:bookmarkEnd w:id="0"/>
      <w:r w:rsidRPr="00907064">
        <w:rPr>
          <w:color w:val="FF0000"/>
          <w:sz w:val="22"/>
          <w:szCs w:val="22"/>
          <w:lang w:val="en-GB"/>
        </w:rPr>
        <w:t>rs, such as national employment options. We can only conclude that providing psychosocial support during childhood may decrease the likelihood of a claim. However, more research is needed to investigate the influence of external factors.</w:t>
      </w:r>
    </w:p>
    <w:p w:rsidR="002F6E53" w:rsidRDefault="00551C94" w:rsidP="002F6E53">
      <w:pPr>
        <w:spacing w:line="480" w:lineRule="auto"/>
        <w:rPr>
          <w:sz w:val="22"/>
          <w:szCs w:val="22"/>
          <w:lang w:val="en-GB"/>
        </w:rPr>
      </w:pPr>
      <w:r>
        <w:rPr>
          <w:sz w:val="22"/>
          <w:szCs w:val="22"/>
          <w:lang w:val="en-GB"/>
        </w:rPr>
        <w:tab/>
      </w:r>
    </w:p>
    <w:p w:rsidR="002F6E53" w:rsidRPr="002F6E53" w:rsidRDefault="002F6E53" w:rsidP="002F6E53">
      <w:pPr>
        <w:spacing w:line="480" w:lineRule="auto"/>
        <w:rPr>
          <w:b/>
          <w:sz w:val="22"/>
          <w:szCs w:val="22"/>
          <w:u w:val="single"/>
          <w:lang w:val="en-GB"/>
        </w:rPr>
      </w:pPr>
      <w:r w:rsidRPr="002F6E53">
        <w:rPr>
          <w:b/>
          <w:sz w:val="22"/>
          <w:szCs w:val="22"/>
          <w:u w:val="single"/>
          <w:lang w:val="en-GB"/>
        </w:rPr>
        <w:t>Conclusion</w:t>
      </w:r>
    </w:p>
    <w:p w:rsidR="00BB07F3" w:rsidRDefault="00076CA9" w:rsidP="002F6E53">
      <w:pPr>
        <w:spacing w:line="480" w:lineRule="auto"/>
        <w:rPr>
          <w:sz w:val="22"/>
          <w:szCs w:val="22"/>
          <w:lang w:val="en-US"/>
        </w:rPr>
      </w:pPr>
      <w:r w:rsidRPr="00076CA9">
        <w:rPr>
          <w:sz w:val="22"/>
          <w:szCs w:val="22"/>
          <w:lang w:val="en-US"/>
        </w:rPr>
        <w:t>In conclusion, t</w:t>
      </w:r>
      <w:r w:rsidR="00BB07F3" w:rsidRPr="00076CA9">
        <w:rPr>
          <w:sz w:val="22"/>
          <w:szCs w:val="22"/>
          <w:lang w:val="en-GB"/>
        </w:rPr>
        <w:t>his</w:t>
      </w:r>
      <w:r w:rsidR="00BB07F3" w:rsidRPr="004A5F5F">
        <w:rPr>
          <w:sz w:val="22"/>
          <w:szCs w:val="22"/>
          <w:lang w:val="en-GB"/>
        </w:rPr>
        <w:t xml:space="preserve"> study provides important insights into the development of characteristics of a vulnerable </w:t>
      </w:r>
      <w:r w:rsidR="002822F1" w:rsidRPr="004A5F5F">
        <w:rPr>
          <w:sz w:val="22"/>
          <w:szCs w:val="22"/>
          <w:lang w:val="en-GB"/>
        </w:rPr>
        <w:t>sub</w:t>
      </w:r>
      <w:r w:rsidR="00BB07F3" w:rsidRPr="004A5F5F">
        <w:rPr>
          <w:sz w:val="22"/>
          <w:szCs w:val="22"/>
          <w:lang w:val="en-GB"/>
        </w:rPr>
        <w:t xml:space="preserve">group </w:t>
      </w:r>
      <w:r w:rsidR="008A3F4B" w:rsidRPr="004A5F5F">
        <w:rPr>
          <w:sz w:val="22"/>
          <w:szCs w:val="22"/>
          <w:lang w:val="en-GB"/>
        </w:rPr>
        <w:t xml:space="preserve">of young people with chronic physical conditions </w:t>
      </w:r>
      <w:r w:rsidR="00BB07F3" w:rsidRPr="004A5F5F">
        <w:rPr>
          <w:sz w:val="22"/>
          <w:szCs w:val="22"/>
          <w:lang w:val="en-GB"/>
        </w:rPr>
        <w:t xml:space="preserve">over time. Adolescents who reported a greater extent of physical disability, followed special education, experienced more impact of their condition on school functioning, and reported lower HRQoL, were more likely to claim a disability benefit in young adulthood. Moreover, we saw that the impact they experienced on vocational functioning and their lower HRQoL persisted over time. </w:t>
      </w:r>
      <w:r w:rsidR="00A37AB8" w:rsidRPr="004A5F5F">
        <w:rPr>
          <w:sz w:val="22"/>
          <w:szCs w:val="22"/>
          <w:lang w:val="en-GB"/>
        </w:rPr>
        <w:t xml:space="preserve">In addition, </w:t>
      </w:r>
      <w:r w:rsidR="00985491" w:rsidRPr="004A5F5F">
        <w:rPr>
          <w:sz w:val="22"/>
          <w:szCs w:val="22"/>
          <w:lang w:val="en-GB"/>
        </w:rPr>
        <w:t xml:space="preserve">in young adulthood </w:t>
      </w:r>
      <w:r w:rsidR="00A37AB8" w:rsidRPr="004A5F5F">
        <w:rPr>
          <w:sz w:val="22"/>
          <w:szCs w:val="22"/>
          <w:lang w:val="en-GB"/>
        </w:rPr>
        <w:t xml:space="preserve">benefit recipients lagged behind in social participation on several domains. </w:t>
      </w:r>
      <w:r w:rsidR="00DF5174" w:rsidRPr="004A5F5F">
        <w:rPr>
          <w:sz w:val="22"/>
          <w:szCs w:val="22"/>
          <w:lang w:val="en-US"/>
        </w:rPr>
        <w:t>Rehabilitation p</w:t>
      </w:r>
      <w:r w:rsidR="00A94322" w:rsidRPr="004A5F5F">
        <w:rPr>
          <w:sz w:val="22"/>
          <w:szCs w:val="22"/>
          <w:lang w:val="en-US"/>
        </w:rPr>
        <w:t>rofessionals</w:t>
      </w:r>
      <w:r w:rsidR="00BB07F3" w:rsidRPr="004A5F5F">
        <w:rPr>
          <w:sz w:val="22"/>
          <w:szCs w:val="22"/>
          <w:lang w:val="en-US"/>
        </w:rPr>
        <w:t xml:space="preserve"> should be aware of this and may make use of various tools to address and screen lived </w:t>
      </w:r>
      <w:r w:rsidR="00BB07F3" w:rsidRPr="004A5F5F">
        <w:rPr>
          <w:sz w:val="22"/>
          <w:szCs w:val="22"/>
          <w:lang w:val="en-US"/>
        </w:rPr>
        <w:lastRenderedPageBreak/>
        <w:t>experiences and the need for support on participation</w:t>
      </w:r>
      <w:r w:rsidR="00E27AD2" w:rsidRPr="004A5F5F">
        <w:rPr>
          <w:sz w:val="22"/>
          <w:szCs w:val="22"/>
          <w:lang w:val="en-US"/>
        </w:rPr>
        <w:t>,</w:t>
      </w:r>
      <w:r w:rsidR="00BB07F3" w:rsidRPr="004A5F5F">
        <w:rPr>
          <w:sz w:val="22"/>
          <w:szCs w:val="22"/>
          <w:lang w:val="en-US"/>
        </w:rPr>
        <w:t xml:space="preserve"> and psychosocial development of this </w:t>
      </w:r>
      <w:r w:rsidR="0037731F" w:rsidRPr="004A5F5F">
        <w:rPr>
          <w:sz w:val="22"/>
          <w:szCs w:val="22"/>
          <w:lang w:val="en-US"/>
        </w:rPr>
        <w:t xml:space="preserve">vulnerable </w:t>
      </w:r>
      <w:r w:rsidR="00BC7856" w:rsidRPr="004A5F5F">
        <w:rPr>
          <w:sz w:val="22"/>
          <w:szCs w:val="22"/>
          <w:lang w:val="en-US"/>
        </w:rPr>
        <w:t>sub</w:t>
      </w:r>
      <w:r w:rsidR="00BB07F3" w:rsidRPr="004A5F5F">
        <w:rPr>
          <w:sz w:val="22"/>
          <w:szCs w:val="22"/>
          <w:lang w:val="en-US"/>
        </w:rPr>
        <w:t xml:space="preserve">group of </w:t>
      </w:r>
      <w:r w:rsidR="0057668E" w:rsidRPr="004A5F5F">
        <w:rPr>
          <w:sz w:val="22"/>
          <w:szCs w:val="22"/>
          <w:lang w:val="en-US"/>
        </w:rPr>
        <w:t>young people</w:t>
      </w:r>
      <w:r w:rsidR="008A3F4B" w:rsidRPr="004A5F5F">
        <w:rPr>
          <w:sz w:val="22"/>
          <w:szCs w:val="22"/>
          <w:lang w:val="en-US"/>
        </w:rPr>
        <w:t xml:space="preserve"> with chronic physical conditions</w:t>
      </w:r>
      <w:r w:rsidR="00BB07F3" w:rsidRPr="004A5F5F">
        <w:rPr>
          <w:sz w:val="22"/>
          <w:szCs w:val="22"/>
          <w:lang w:val="en-US"/>
        </w:rPr>
        <w:t>.</w:t>
      </w:r>
    </w:p>
    <w:p w:rsidR="00073657" w:rsidRDefault="00073657" w:rsidP="00076CA9">
      <w:pPr>
        <w:spacing w:line="480" w:lineRule="auto"/>
        <w:ind w:firstLine="708"/>
        <w:rPr>
          <w:sz w:val="22"/>
          <w:szCs w:val="22"/>
          <w:lang w:val="en-US"/>
        </w:rPr>
      </w:pPr>
    </w:p>
    <w:p w:rsidR="00073657" w:rsidRPr="00B766C6" w:rsidRDefault="00073657" w:rsidP="00073657">
      <w:pPr>
        <w:spacing w:line="480" w:lineRule="auto"/>
        <w:outlineLvl w:val="0"/>
        <w:rPr>
          <w:b/>
          <w:sz w:val="22"/>
          <w:szCs w:val="22"/>
          <w:u w:val="single"/>
          <w:lang w:val="en-US"/>
        </w:rPr>
      </w:pPr>
      <w:r w:rsidRPr="00B766C6">
        <w:rPr>
          <w:b/>
          <w:sz w:val="22"/>
          <w:szCs w:val="22"/>
          <w:u w:val="single"/>
          <w:lang w:val="en-US"/>
        </w:rPr>
        <w:t>Acknowledgements</w:t>
      </w:r>
    </w:p>
    <w:p w:rsidR="00073657" w:rsidRPr="004A5F5F" w:rsidRDefault="00073657" w:rsidP="00073657">
      <w:pPr>
        <w:spacing w:line="480" w:lineRule="auto"/>
        <w:outlineLvl w:val="0"/>
        <w:rPr>
          <w:sz w:val="22"/>
          <w:szCs w:val="22"/>
          <w:lang w:val="en-US"/>
        </w:rPr>
      </w:pPr>
      <w:r w:rsidRPr="004A5F5F">
        <w:rPr>
          <w:sz w:val="22"/>
          <w:szCs w:val="22"/>
          <w:lang w:val="en-US"/>
        </w:rPr>
        <w:t>The authors thank the members of the On Your Own Feet Research Group, Jos Latour, Susan Jedeloo, Linda van der Knaap, Heleen van der Stege, and Sander Hilberink, for their support in the design and execution of the study. The following students are thanked for their assistance in collecting data and pre-testing the follow-up questionnaire: Laila Oumansour, Wendy de Boer, Mariëlle Peeters, Kimberly Onderdijk and Esmee Kuppen. Marij Roebroeck and the Transition and Lifespan Research Group South West Netherlands are thanked for making the Rotterdam Transition Profile available. To conclude, we thank Prof. Bert van der Heijden, then head of the Department of Pediatrics of Erasmus MC, for providing us with the original idea to perform this follow-up study.</w:t>
      </w:r>
    </w:p>
    <w:p w:rsidR="00073657" w:rsidRPr="004A5F5F" w:rsidRDefault="00073657" w:rsidP="00073657">
      <w:pPr>
        <w:spacing w:line="480" w:lineRule="auto"/>
        <w:outlineLvl w:val="0"/>
        <w:rPr>
          <w:sz w:val="22"/>
          <w:szCs w:val="22"/>
          <w:lang w:val="en-US"/>
        </w:rPr>
      </w:pPr>
    </w:p>
    <w:p w:rsidR="00073657" w:rsidRPr="00B766C6" w:rsidRDefault="00073657" w:rsidP="00073657">
      <w:pPr>
        <w:spacing w:line="480" w:lineRule="auto"/>
        <w:rPr>
          <w:b/>
          <w:sz w:val="22"/>
          <w:szCs w:val="22"/>
          <w:u w:val="single"/>
          <w:lang w:val="en-US"/>
        </w:rPr>
      </w:pPr>
      <w:r w:rsidRPr="00B766C6">
        <w:rPr>
          <w:b/>
          <w:sz w:val="22"/>
          <w:szCs w:val="22"/>
          <w:u w:val="single"/>
          <w:lang w:val="en-US"/>
        </w:rPr>
        <w:t>Funding sources</w:t>
      </w:r>
    </w:p>
    <w:p w:rsidR="00073657" w:rsidRPr="004A5F5F" w:rsidRDefault="00073657" w:rsidP="00073657">
      <w:pPr>
        <w:spacing w:line="480" w:lineRule="auto"/>
        <w:rPr>
          <w:sz w:val="22"/>
          <w:szCs w:val="22"/>
          <w:lang w:val="en-US"/>
        </w:rPr>
      </w:pPr>
      <w:r w:rsidRPr="004A5F5F">
        <w:rPr>
          <w:sz w:val="22"/>
          <w:szCs w:val="22"/>
          <w:lang w:val="en-US"/>
        </w:rPr>
        <w:t>The On Your Own Feet program (2004-2008</w:t>
      </w:r>
      <w:r w:rsidR="00AF4BF2">
        <w:rPr>
          <w:sz w:val="22"/>
          <w:szCs w:val="22"/>
          <w:lang w:val="en-US"/>
        </w:rPr>
        <w:t>)</w:t>
      </w:r>
      <w:r w:rsidRPr="004A5F5F">
        <w:rPr>
          <w:sz w:val="22"/>
          <w:szCs w:val="22"/>
          <w:lang w:val="en-US"/>
        </w:rPr>
        <w:t xml:space="preserve"> was funded by ZonMw, The Netherlands Organization for Health Research and Development (Grant 32560005), and the Dutch charity foundation Kinderpostzegels (Grant 23674/1/4). The follow-up study was part of the Self-management and Participation Innovation Lab, supported by SIA-RAAK, the Foundation Innovation Alliance with funding from the Dutch ministry of Education, Culture and Science (OCW) (PRO-02-025). The funding sources had no role in the design and conduct of the study; collection, management, analysis, and interpretation of the data; preparation, review, or approval of the manuscript; and decision to submit the manuscript for publication.</w:t>
      </w:r>
    </w:p>
    <w:p w:rsidR="00073657" w:rsidRPr="004A5F5F" w:rsidRDefault="00073657" w:rsidP="00073657">
      <w:pPr>
        <w:spacing w:line="480" w:lineRule="auto"/>
        <w:rPr>
          <w:b/>
          <w:sz w:val="22"/>
          <w:szCs w:val="22"/>
          <w:lang w:val="en-US"/>
        </w:rPr>
      </w:pPr>
    </w:p>
    <w:p w:rsidR="00073657" w:rsidRPr="00B766C6" w:rsidRDefault="00073657" w:rsidP="00073657">
      <w:pPr>
        <w:spacing w:line="480" w:lineRule="auto"/>
        <w:outlineLvl w:val="0"/>
        <w:rPr>
          <w:b/>
          <w:sz w:val="22"/>
          <w:szCs w:val="22"/>
          <w:u w:val="single"/>
          <w:lang w:val="en-US"/>
        </w:rPr>
      </w:pPr>
      <w:r w:rsidRPr="00B766C6">
        <w:rPr>
          <w:b/>
          <w:sz w:val="22"/>
          <w:szCs w:val="22"/>
          <w:u w:val="single"/>
          <w:lang w:val="en-US"/>
        </w:rPr>
        <w:t>Declaration of interest statement</w:t>
      </w:r>
    </w:p>
    <w:p w:rsidR="00073657" w:rsidRPr="004A5F5F" w:rsidRDefault="00073657" w:rsidP="00073657">
      <w:pPr>
        <w:spacing w:line="480" w:lineRule="auto"/>
        <w:outlineLvl w:val="0"/>
        <w:rPr>
          <w:sz w:val="22"/>
          <w:szCs w:val="22"/>
          <w:lang w:val="en-US"/>
        </w:rPr>
      </w:pPr>
      <w:r w:rsidRPr="004A5F5F">
        <w:rPr>
          <w:sz w:val="22"/>
          <w:szCs w:val="22"/>
          <w:lang w:val="en-US"/>
        </w:rPr>
        <w:t>The authors state that they have no potential conflicts of interests to declare, including relevant financial interests, activities, relationships, and affiliations.</w:t>
      </w:r>
    </w:p>
    <w:p w:rsidR="00BB07F3" w:rsidRDefault="00BB07F3" w:rsidP="004A5F5F">
      <w:pPr>
        <w:spacing w:line="480" w:lineRule="auto"/>
        <w:rPr>
          <w:sz w:val="22"/>
          <w:szCs w:val="22"/>
          <w:lang w:val="en-US"/>
        </w:rPr>
      </w:pPr>
    </w:p>
    <w:p w:rsidR="00015A75" w:rsidRPr="004A5F5F" w:rsidRDefault="00015A75" w:rsidP="004A5F5F">
      <w:pPr>
        <w:spacing w:line="480" w:lineRule="auto"/>
        <w:rPr>
          <w:sz w:val="22"/>
          <w:szCs w:val="22"/>
          <w:lang w:val="en-US"/>
        </w:rPr>
      </w:pPr>
    </w:p>
    <w:p w:rsidR="00BB07F3" w:rsidRPr="002A638C" w:rsidRDefault="00BB07F3" w:rsidP="004A5F5F">
      <w:pPr>
        <w:spacing w:line="480" w:lineRule="auto"/>
        <w:outlineLvl w:val="0"/>
        <w:rPr>
          <w:b/>
          <w:sz w:val="22"/>
          <w:szCs w:val="22"/>
          <w:u w:val="single"/>
          <w:lang w:val="en-GB"/>
        </w:rPr>
      </w:pPr>
      <w:r w:rsidRPr="002A638C">
        <w:rPr>
          <w:b/>
          <w:sz w:val="22"/>
          <w:szCs w:val="22"/>
          <w:u w:val="single"/>
          <w:lang w:val="en-GB"/>
        </w:rPr>
        <w:lastRenderedPageBreak/>
        <w:t>References</w:t>
      </w:r>
    </w:p>
    <w:p w:rsidR="002A638C" w:rsidRPr="002A638C" w:rsidRDefault="00091D30" w:rsidP="00DA378C">
      <w:pPr>
        <w:pStyle w:val="Lijstalinea"/>
        <w:numPr>
          <w:ilvl w:val="0"/>
          <w:numId w:val="3"/>
        </w:numPr>
        <w:spacing w:line="480" w:lineRule="auto"/>
        <w:ind w:left="709" w:hanging="709"/>
        <w:outlineLvl w:val="0"/>
        <w:rPr>
          <w:sz w:val="22"/>
          <w:szCs w:val="22"/>
        </w:rPr>
      </w:pPr>
      <w:r w:rsidRPr="00015A75">
        <w:rPr>
          <w:sz w:val="22"/>
          <w:szCs w:val="22"/>
        </w:rPr>
        <w:t xml:space="preserve">King G, Baldwin P, Currie M, Evans J. Planning Successful Transitions From School to Adult Roles for Youth With Disabilities. </w:t>
      </w:r>
      <w:r w:rsidR="002A638C" w:rsidRPr="002A638C">
        <w:rPr>
          <w:sz w:val="22"/>
          <w:szCs w:val="22"/>
        </w:rPr>
        <w:t>Children's Health Care</w:t>
      </w:r>
      <w:r w:rsidR="0040338E">
        <w:rPr>
          <w:sz w:val="22"/>
          <w:szCs w:val="22"/>
        </w:rPr>
        <w:t xml:space="preserve"> 2005;34</w:t>
      </w:r>
      <w:r w:rsidR="002A638C" w:rsidRPr="002A638C">
        <w:rPr>
          <w:sz w:val="22"/>
          <w:szCs w:val="22"/>
        </w:rPr>
        <w:t>:193-216.</w:t>
      </w:r>
    </w:p>
    <w:p w:rsidR="00DA378C" w:rsidRDefault="002A638C" w:rsidP="00DA378C">
      <w:pPr>
        <w:pStyle w:val="Lijstalinea"/>
        <w:numPr>
          <w:ilvl w:val="0"/>
          <w:numId w:val="3"/>
        </w:numPr>
        <w:spacing w:line="480" w:lineRule="auto"/>
        <w:ind w:left="709" w:hanging="709"/>
        <w:outlineLvl w:val="0"/>
        <w:rPr>
          <w:sz w:val="22"/>
          <w:szCs w:val="22"/>
          <w:lang w:val="en-US"/>
        </w:rPr>
      </w:pPr>
      <w:r w:rsidRPr="002A638C">
        <w:rPr>
          <w:sz w:val="22"/>
          <w:szCs w:val="22"/>
          <w:lang w:val="en-US"/>
        </w:rPr>
        <w:t>Magill-Evans J, Darrah J, Pain K, Adkins R, Kratochvil M. Are families with adolescents and young adults with cerebral palsy the same as other families? Development</w:t>
      </w:r>
      <w:r w:rsidR="00CA719B">
        <w:rPr>
          <w:sz w:val="22"/>
          <w:szCs w:val="22"/>
          <w:lang w:val="en-US"/>
        </w:rPr>
        <w:t>al Medicine and Child Neurology</w:t>
      </w:r>
      <w:r w:rsidR="0040338E">
        <w:rPr>
          <w:sz w:val="22"/>
          <w:szCs w:val="22"/>
          <w:lang w:val="en-US"/>
        </w:rPr>
        <w:t xml:space="preserve"> 2001;43</w:t>
      </w:r>
      <w:r w:rsidRPr="002A638C">
        <w:rPr>
          <w:sz w:val="22"/>
          <w:szCs w:val="22"/>
          <w:lang w:val="en-US"/>
        </w:rPr>
        <w:t>:466</w:t>
      </w:r>
      <w:r w:rsidR="0040338E">
        <w:rPr>
          <w:sz w:val="22"/>
          <w:szCs w:val="22"/>
          <w:lang w:val="en-US"/>
        </w:rPr>
        <w:t>-472</w:t>
      </w:r>
      <w:r w:rsidRPr="002A638C">
        <w:rPr>
          <w:sz w:val="22"/>
          <w:szCs w:val="22"/>
          <w:lang w:val="en-US"/>
        </w:rPr>
        <w:t>.</w:t>
      </w:r>
    </w:p>
    <w:p w:rsidR="00DA378C" w:rsidRDefault="002A638C" w:rsidP="00DA378C">
      <w:pPr>
        <w:pStyle w:val="Lijstalinea"/>
        <w:numPr>
          <w:ilvl w:val="0"/>
          <w:numId w:val="3"/>
        </w:numPr>
        <w:spacing w:line="480" w:lineRule="auto"/>
        <w:ind w:left="709" w:hanging="709"/>
        <w:outlineLvl w:val="0"/>
        <w:rPr>
          <w:rStyle w:val="selectable"/>
          <w:sz w:val="22"/>
          <w:szCs w:val="22"/>
          <w:lang w:val="en-US"/>
        </w:rPr>
      </w:pPr>
      <w:r w:rsidRPr="00DA378C">
        <w:rPr>
          <w:rStyle w:val="selectable"/>
          <w:sz w:val="22"/>
          <w:szCs w:val="22"/>
          <w:lang w:val="en-US"/>
        </w:rPr>
        <w:t>Lindsay S. Discrimination and other barriers to employment for teens and young adults with disabilities</w:t>
      </w:r>
      <w:r w:rsidR="00CA719B">
        <w:rPr>
          <w:rStyle w:val="selectable"/>
          <w:sz w:val="22"/>
          <w:szCs w:val="22"/>
          <w:lang w:val="en-US"/>
        </w:rPr>
        <w:t>. Disability and Rehabilitation</w:t>
      </w:r>
      <w:r w:rsidR="0040338E">
        <w:rPr>
          <w:rStyle w:val="selectable"/>
          <w:sz w:val="22"/>
          <w:szCs w:val="22"/>
          <w:lang w:val="en-US"/>
        </w:rPr>
        <w:t xml:space="preserve"> 2011;33</w:t>
      </w:r>
      <w:r w:rsidRPr="00DA378C">
        <w:rPr>
          <w:rStyle w:val="selectable"/>
          <w:sz w:val="22"/>
          <w:szCs w:val="22"/>
          <w:lang w:val="en-US"/>
        </w:rPr>
        <w:t>:1340-1350.</w:t>
      </w:r>
    </w:p>
    <w:p w:rsidR="00DA378C" w:rsidRDefault="002A638C"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t>van Mechelen M, Verhoef M, van Asbeck F, Post M. Work participation among young adults with spina bifida in the Netherlands. Developme</w:t>
      </w:r>
      <w:r w:rsidR="00CA719B">
        <w:rPr>
          <w:sz w:val="22"/>
          <w:szCs w:val="22"/>
          <w:lang w:val="en-US"/>
        </w:rPr>
        <w:t>ntal Medicine &amp; Child Neurology</w:t>
      </w:r>
      <w:r w:rsidR="0040338E">
        <w:rPr>
          <w:sz w:val="22"/>
          <w:szCs w:val="22"/>
          <w:lang w:val="en-US"/>
        </w:rPr>
        <w:t xml:space="preserve"> 2008;50</w:t>
      </w:r>
      <w:r w:rsidRPr="00DA378C">
        <w:rPr>
          <w:sz w:val="22"/>
          <w:szCs w:val="22"/>
          <w:lang w:val="en-US"/>
        </w:rPr>
        <w:t>:772-777.</w:t>
      </w:r>
    </w:p>
    <w:p w:rsidR="0040338E" w:rsidRDefault="002A638C" w:rsidP="0040338E">
      <w:pPr>
        <w:pStyle w:val="Lijstalinea"/>
        <w:numPr>
          <w:ilvl w:val="0"/>
          <w:numId w:val="3"/>
        </w:numPr>
        <w:spacing w:line="480" w:lineRule="auto"/>
        <w:ind w:left="709" w:hanging="709"/>
        <w:outlineLvl w:val="0"/>
        <w:rPr>
          <w:sz w:val="22"/>
          <w:szCs w:val="22"/>
          <w:lang w:val="en-US"/>
        </w:rPr>
      </w:pPr>
      <w:r w:rsidRPr="00DA378C">
        <w:rPr>
          <w:sz w:val="22"/>
          <w:szCs w:val="22"/>
          <w:lang w:val="en-US"/>
        </w:rPr>
        <w:t>Nieuwenhuijsen C, Donkervoort M, Nieuwstraten W, Stam H, Roebroeck M. Experienced Problems of Young Adults With Cerebral Palsy: Targets for Rehabilitation Care. Archives of Physi</w:t>
      </w:r>
      <w:r w:rsidR="00CA719B">
        <w:rPr>
          <w:sz w:val="22"/>
          <w:szCs w:val="22"/>
          <w:lang w:val="en-US"/>
        </w:rPr>
        <w:t>cal Medicine and Rehabilitation</w:t>
      </w:r>
      <w:r w:rsidR="0040338E">
        <w:rPr>
          <w:sz w:val="22"/>
          <w:szCs w:val="22"/>
          <w:lang w:val="en-US"/>
        </w:rPr>
        <w:t xml:space="preserve"> 2009;90</w:t>
      </w:r>
      <w:r w:rsidRPr="00DA378C">
        <w:rPr>
          <w:sz w:val="22"/>
          <w:szCs w:val="22"/>
          <w:lang w:val="en-US"/>
        </w:rPr>
        <w:t>:1891-1897.</w:t>
      </w:r>
    </w:p>
    <w:p w:rsidR="00DA378C" w:rsidRPr="0040338E" w:rsidRDefault="002A638C" w:rsidP="0040338E">
      <w:pPr>
        <w:pStyle w:val="Lijstalinea"/>
        <w:numPr>
          <w:ilvl w:val="0"/>
          <w:numId w:val="3"/>
        </w:numPr>
        <w:spacing w:line="480" w:lineRule="auto"/>
        <w:ind w:left="709" w:hanging="709"/>
        <w:outlineLvl w:val="0"/>
        <w:rPr>
          <w:sz w:val="22"/>
          <w:szCs w:val="22"/>
          <w:lang w:val="en-US"/>
        </w:rPr>
      </w:pPr>
      <w:r w:rsidRPr="0040338E">
        <w:rPr>
          <w:sz w:val="22"/>
          <w:szCs w:val="22"/>
          <w:lang w:val="en-US"/>
        </w:rPr>
        <w:t>Maslow G, Haydon A, Ford C, Halpern C. Young Adult Outcomes of Children Growing Up With Chronic Illness. Archives of P</w:t>
      </w:r>
      <w:r w:rsidR="00CA719B" w:rsidRPr="0040338E">
        <w:rPr>
          <w:sz w:val="22"/>
          <w:szCs w:val="22"/>
          <w:lang w:val="en-US"/>
        </w:rPr>
        <w:t>ediatrics &amp; Adolescent Medicine</w:t>
      </w:r>
      <w:r w:rsidR="0040338E" w:rsidRPr="0040338E">
        <w:rPr>
          <w:sz w:val="22"/>
          <w:szCs w:val="22"/>
          <w:lang w:val="en-US"/>
        </w:rPr>
        <w:t xml:space="preserve"> 2011;165: 256-</w:t>
      </w:r>
      <w:r w:rsidR="0040338E">
        <w:rPr>
          <w:sz w:val="22"/>
          <w:szCs w:val="22"/>
          <w:lang w:val="en-US"/>
        </w:rPr>
        <w:t>2</w:t>
      </w:r>
      <w:r w:rsidR="0040338E" w:rsidRPr="0040338E">
        <w:rPr>
          <w:sz w:val="22"/>
          <w:szCs w:val="22"/>
          <w:lang w:val="en-US"/>
        </w:rPr>
        <w:t>61</w:t>
      </w:r>
      <w:r w:rsidRPr="0040338E">
        <w:rPr>
          <w:sz w:val="22"/>
          <w:szCs w:val="22"/>
          <w:lang w:val="en-US"/>
        </w:rPr>
        <w:t>.</w:t>
      </w:r>
    </w:p>
    <w:p w:rsidR="00DA378C" w:rsidRPr="00015A75" w:rsidRDefault="00091D30" w:rsidP="00DA378C">
      <w:pPr>
        <w:pStyle w:val="Lijstalinea"/>
        <w:numPr>
          <w:ilvl w:val="0"/>
          <w:numId w:val="3"/>
        </w:numPr>
        <w:spacing w:line="480" w:lineRule="auto"/>
        <w:ind w:left="709" w:hanging="709"/>
        <w:outlineLvl w:val="0"/>
        <w:rPr>
          <w:sz w:val="22"/>
          <w:szCs w:val="22"/>
          <w:lang w:val="en-US"/>
        </w:rPr>
      </w:pPr>
      <w:r w:rsidRPr="00015A75">
        <w:rPr>
          <w:sz w:val="22"/>
          <w:szCs w:val="22"/>
          <w:lang w:val="en-US"/>
        </w:rPr>
        <w:t>Eurostat. European social statistics. Luxembourg: European Commission; 2013.</w:t>
      </w:r>
      <w:bookmarkStart w:id="1" w:name="_ENREF_8"/>
    </w:p>
    <w:p w:rsidR="00DA378C" w:rsidRPr="00384F81" w:rsidRDefault="002A638C"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t xml:space="preserve">The Academic Network of European Disability experts. The labour market situation of disabled people in European countries and implementation of employment policies: a summary of evidence from country reports andresearch studies. Leeds: Academic Network of </w:t>
      </w:r>
      <w:r w:rsidRPr="00384F81">
        <w:rPr>
          <w:sz w:val="22"/>
          <w:szCs w:val="22"/>
          <w:lang w:val="en-US"/>
        </w:rPr>
        <w:t>European Disability experts (ANED); 2009.</w:t>
      </w:r>
      <w:bookmarkStart w:id="2" w:name="_ENREF_9"/>
      <w:bookmarkEnd w:id="1"/>
    </w:p>
    <w:p w:rsidR="00DA378C" w:rsidRPr="00384F81" w:rsidRDefault="00091D30" w:rsidP="00DA378C">
      <w:pPr>
        <w:pStyle w:val="Lijstalinea"/>
        <w:numPr>
          <w:ilvl w:val="0"/>
          <w:numId w:val="3"/>
        </w:numPr>
        <w:spacing w:line="480" w:lineRule="auto"/>
        <w:ind w:left="709" w:hanging="709"/>
        <w:outlineLvl w:val="0"/>
        <w:rPr>
          <w:sz w:val="22"/>
          <w:szCs w:val="22"/>
          <w:lang w:val="en-US"/>
        </w:rPr>
      </w:pPr>
      <w:r w:rsidRPr="00015A75">
        <w:rPr>
          <w:sz w:val="22"/>
          <w:szCs w:val="22"/>
        </w:rPr>
        <w:t>National Institute for Public Health and the Environment.</w:t>
      </w:r>
      <w:r w:rsidR="002A638C" w:rsidRPr="00384F81">
        <w:rPr>
          <w:sz w:val="22"/>
          <w:szCs w:val="22"/>
          <w:lang w:val="en-US"/>
        </w:rPr>
        <w:t xml:space="preserve"> Chronische ziekten en multimorbiditeit. [Chron</w:t>
      </w:r>
      <w:r w:rsidR="00384F81" w:rsidRPr="00384F81">
        <w:rPr>
          <w:sz w:val="22"/>
          <w:szCs w:val="22"/>
          <w:lang w:val="en-US"/>
        </w:rPr>
        <w:t>ic illness and multimorbidity], http://www.nationaalkompas.nl/gezondheid-en-ziekte/ziekten-en-aandoeningen/chronische-ziekten-en-multimorbiditeit; [a</w:t>
      </w:r>
      <w:r w:rsidR="002A638C" w:rsidRPr="00384F81">
        <w:rPr>
          <w:sz w:val="22"/>
          <w:szCs w:val="22"/>
          <w:lang w:val="en-US"/>
        </w:rPr>
        <w:t>ccessed</w:t>
      </w:r>
      <w:r w:rsidR="00384F81" w:rsidRPr="00384F81">
        <w:rPr>
          <w:sz w:val="22"/>
          <w:szCs w:val="22"/>
          <w:lang w:val="en-US"/>
        </w:rPr>
        <w:t xml:space="preserve"> 22.03.16</w:t>
      </w:r>
      <w:bookmarkEnd w:id="2"/>
      <w:r w:rsidR="00384F81" w:rsidRPr="00384F81">
        <w:rPr>
          <w:sz w:val="22"/>
          <w:szCs w:val="22"/>
          <w:lang w:val="en-US"/>
        </w:rPr>
        <w:t>].</w:t>
      </w:r>
    </w:p>
    <w:p w:rsidR="00DA378C" w:rsidRPr="00DA378C" w:rsidRDefault="00091D30" w:rsidP="00DA378C">
      <w:pPr>
        <w:pStyle w:val="Lijstalinea"/>
        <w:numPr>
          <w:ilvl w:val="0"/>
          <w:numId w:val="3"/>
        </w:numPr>
        <w:spacing w:line="480" w:lineRule="auto"/>
        <w:ind w:left="709" w:hanging="709"/>
        <w:outlineLvl w:val="0"/>
        <w:rPr>
          <w:sz w:val="22"/>
          <w:szCs w:val="22"/>
          <w:lang w:val="en-US"/>
        </w:rPr>
      </w:pPr>
      <w:r w:rsidRPr="00015A75">
        <w:rPr>
          <w:sz w:val="22"/>
          <w:szCs w:val="22"/>
        </w:rPr>
        <w:t xml:space="preserve">de Jong M, de Boer A, Tamminga S, Frings-Dresen M. Quality of Working Life Issues of Employees with a Chronic Physical Disease: A Systematic Review. </w:t>
      </w:r>
      <w:r w:rsidR="00361715" w:rsidRPr="00DA378C">
        <w:rPr>
          <w:sz w:val="22"/>
          <w:szCs w:val="22"/>
        </w:rPr>
        <w:t>Journal</w:t>
      </w:r>
      <w:r w:rsidR="00CA719B">
        <w:rPr>
          <w:sz w:val="22"/>
          <w:szCs w:val="22"/>
        </w:rPr>
        <w:t xml:space="preserve"> of Occupational Rehabilitation</w:t>
      </w:r>
      <w:r w:rsidR="0040338E">
        <w:rPr>
          <w:sz w:val="22"/>
          <w:szCs w:val="22"/>
        </w:rPr>
        <w:t xml:space="preserve"> 2014;25</w:t>
      </w:r>
      <w:r w:rsidR="00361715" w:rsidRPr="00DA378C">
        <w:rPr>
          <w:sz w:val="22"/>
          <w:szCs w:val="22"/>
        </w:rPr>
        <w:t>:182-196.</w:t>
      </w:r>
    </w:p>
    <w:p w:rsidR="00DA378C" w:rsidRDefault="002A638C"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lastRenderedPageBreak/>
        <w:t>Lindsay S. Employment status and work characteristics among adolescents with disabilities</w:t>
      </w:r>
      <w:r w:rsidR="00CA719B">
        <w:rPr>
          <w:sz w:val="22"/>
          <w:szCs w:val="22"/>
          <w:lang w:val="en-US"/>
        </w:rPr>
        <w:t>. Disability and Rehabilitation</w:t>
      </w:r>
      <w:r w:rsidR="0040338E">
        <w:rPr>
          <w:sz w:val="22"/>
          <w:szCs w:val="22"/>
          <w:lang w:val="en-US"/>
        </w:rPr>
        <w:t xml:space="preserve"> 2010;33</w:t>
      </w:r>
      <w:r w:rsidRPr="00DA378C">
        <w:rPr>
          <w:sz w:val="22"/>
          <w:szCs w:val="22"/>
          <w:lang w:val="en-US"/>
        </w:rPr>
        <w:t>:843-854.</w:t>
      </w:r>
      <w:bookmarkStart w:id="3" w:name="_ENREF_11"/>
    </w:p>
    <w:p w:rsidR="00DA378C" w:rsidRDefault="00361715" w:rsidP="00DA378C">
      <w:pPr>
        <w:pStyle w:val="Lijstalinea"/>
        <w:numPr>
          <w:ilvl w:val="0"/>
          <w:numId w:val="3"/>
        </w:numPr>
        <w:spacing w:line="480" w:lineRule="auto"/>
        <w:ind w:left="709" w:hanging="709"/>
        <w:outlineLvl w:val="0"/>
        <w:rPr>
          <w:sz w:val="22"/>
          <w:szCs w:val="22"/>
          <w:lang w:val="en-US"/>
        </w:rPr>
      </w:pPr>
      <w:r w:rsidRPr="00DA378C">
        <w:rPr>
          <w:sz w:val="22"/>
          <w:szCs w:val="22"/>
        </w:rPr>
        <w:t>V</w:t>
      </w:r>
      <w:r w:rsidR="00BB07F3" w:rsidRPr="00DA378C">
        <w:rPr>
          <w:sz w:val="22"/>
          <w:szCs w:val="22"/>
        </w:rPr>
        <w:t>erhoef JA, Miedema HS, Van Meeteren J,</w:t>
      </w:r>
      <w:r w:rsidR="00137CB8" w:rsidRPr="00DA378C">
        <w:rPr>
          <w:sz w:val="22"/>
          <w:szCs w:val="22"/>
        </w:rPr>
        <w:t xml:space="preserve"> et al</w:t>
      </w:r>
      <w:r w:rsidR="00BB07F3" w:rsidRPr="00DA378C">
        <w:rPr>
          <w:sz w:val="22"/>
          <w:szCs w:val="22"/>
        </w:rPr>
        <w:t xml:space="preserve">. </w:t>
      </w:r>
      <w:r w:rsidR="00BB07F3" w:rsidRPr="00DA378C">
        <w:rPr>
          <w:sz w:val="22"/>
          <w:szCs w:val="22"/>
          <w:lang w:val="en-US"/>
        </w:rPr>
        <w:t>A new intervention to improve work participation of young adults with physical disabilities: a feasibility study. Development</w:t>
      </w:r>
      <w:r w:rsidR="00610742" w:rsidRPr="00DA378C">
        <w:rPr>
          <w:sz w:val="22"/>
          <w:szCs w:val="22"/>
          <w:lang w:val="en-US"/>
        </w:rPr>
        <w:t>al M</w:t>
      </w:r>
      <w:r w:rsidR="00137CB8" w:rsidRPr="00DA378C">
        <w:rPr>
          <w:sz w:val="22"/>
          <w:szCs w:val="22"/>
          <w:lang w:val="en-US"/>
        </w:rPr>
        <w:t xml:space="preserve">edicine and </w:t>
      </w:r>
      <w:r w:rsidR="00610742" w:rsidRPr="00DA378C">
        <w:rPr>
          <w:sz w:val="22"/>
          <w:szCs w:val="22"/>
          <w:lang w:val="en-US"/>
        </w:rPr>
        <w:t>C</w:t>
      </w:r>
      <w:r w:rsidR="00137CB8" w:rsidRPr="00DA378C">
        <w:rPr>
          <w:sz w:val="22"/>
          <w:szCs w:val="22"/>
          <w:lang w:val="en-US"/>
        </w:rPr>
        <w:t xml:space="preserve">hild </w:t>
      </w:r>
      <w:r w:rsidR="00610742" w:rsidRPr="00DA378C">
        <w:rPr>
          <w:sz w:val="22"/>
          <w:szCs w:val="22"/>
          <w:lang w:val="en-US"/>
        </w:rPr>
        <w:t>N</w:t>
      </w:r>
      <w:r w:rsidR="00137CB8" w:rsidRPr="00DA378C">
        <w:rPr>
          <w:sz w:val="22"/>
          <w:szCs w:val="22"/>
          <w:lang w:val="en-US"/>
        </w:rPr>
        <w:t>eurology</w:t>
      </w:r>
      <w:r w:rsidR="0040338E">
        <w:rPr>
          <w:sz w:val="22"/>
          <w:szCs w:val="22"/>
          <w:lang w:val="en-US"/>
        </w:rPr>
        <w:t xml:space="preserve"> 2013;55</w:t>
      </w:r>
      <w:r w:rsidR="00BB07F3" w:rsidRPr="00DA378C">
        <w:rPr>
          <w:sz w:val="22"/>
          <w:szCs w:val="22"/>
          <w:lang w:val="en-US"/>
        </w:rPr>
        <w:t>:722-</w:t>
      </w:r>
      <w:r w:rsidR="0040338E">
        <w:rPr>
          <w:sz w:val="22"/>
          <w:szCs w:val="22"/>
          <w:lang w:val="en-US"/>
        </w:rPr>
        <w:t>72</w:t>
      </w:r>
      <w:r w:rsidR="00BB07F3" w:rsidRPr="00DA378C">
        <w:rPr>
          <w:sz w:val="22"/>
          <w:szCs w:val="22"/>
          <w:lang w:val="en-US"/>
        </w:rPr>
        <w:t>8.</w:t>
      </w:r>
      <w:bookmarkStart w:id="4" w:name="_ENREF_43"/>
      <w:bookmarkEnd w:id="3"/>
    </w:p>
    <w:p w:rsidR="00DA378C" w:rsidRPr="00DA378C" w:rsidRDefault="00A275ED" w:rsidP="00DA378C">
      <w:pPr>
        <w:pStyle w:val="Lijstalinea"/>
        <w:numPr>
          <w:ilvl w:val="0"/>
          <w:numId w:val="3"/>
        </w:numPr>
        <w:spacing w:line="480" w:lineRule="auto"/>
        <w:ind w:left="709" w:hanging="709"/>
        <w:outlineLvl w:val="0"/>
        <w:rPr>
          <w:sz w:val="22"/>
          <w:szCs w:val="22"/>
          <w:lang w:val="en-US"/>
        </w:rPr>
      </w:pPr>
      <w:r w:rsidRPr="00DA378C">
        <w:rPr>
          <w:noProof/>
          <w:color w:val="000000" w:themeColor="text1"/>
          <w:sz w:val="22"/>
          <w:szCs w:val="22"/>
          <w:lang w:val="en-US"/>
        </w:rPr>
        <w:t>Verhoef, J. A. C., Roebroeck, M. E., Van Schaardenburgh, N., Floothuis, M. C. G. &amp; Miedema, H. S. Improved Occupational Performance of Young Adults with a Physical Disability After a Vocational Rehabilitation Intervention. Journal of Occupational Rehabil</w:t>
      </w:r>
      <w:bookmarkEnd w:id="4"/>
      <w:r w:rsidR="00CA719B">
        <w:rPr>
          <w:noProof/>
          <w:color w:val="000000" w:themeColor="text1"/>
          <w:sz w:val="22"/>
          <w:szCs w:val="22"/>
          <w:lang w:val="en-US"/>
        </w:rPr>
        <w:t>itation</w:t>
      </w:r>
      <w:r w:rsidR="0040338E">
        <w:rPr>
          <w:noProof/>
          <w:color w:val="000000" w:themeColor="text1"/>
          <w:sz w:val="22"/>
          <w:szCs w:val="22"/>
          <w:lang w:val="en-US"/>
        </w:rPr>
        <w:t xml:space="preserve"> 2013b;</w:t>
      </w:r>
      <w:r w:rsidRPr="00DA378C">
        <w:rPr>
          <w:noProof/>
          <w:color w:val="000000" w:themeColor="text1"/>
          <w:sz w:val="22"/>
          <w:szCs w:val="22"/>
          <w:lang w:val="en-US"/>
        </w:rPr>
        <w:t>24</w:t>
      </w:r>
      <w:r w:rsidR="00AC0412" w:rsidRPr="00DA378C">
        <w:rPr>
          <w:noProof/>
          <w:color w:val="000000" w:themeColor="text1"/>
          <w:sz w:val="22"/>
          <w:szCs w:val="22"/>
          <w:lang w:val="en-US"/>
        </w:rPr>
        <w:t>:</w:t>
      </w:r>
      <w:r w:rsidRPr="00DA378C">
        <w:rPr>
          <w:noProof/>
          <w:color w:val="000000" w:themeColor="text1"/>
          <w:sz w:val="22"/>
          <w:szCs w:val="22"/>
          <w:lang w:val="en-US"/>
        </w:rPr>
        <w:t>42-51</w:t>
      </w:r>
      <w:bookmarkStart w:id="5" w:name="_ENREF_12"/>
      <w:r w:rsidR="0064582C">
        <w:rPr>
          <w:noProof/>
          <w:color w:val="000000" w:themeColor="text1"/>
          <w:sz w:val="22"/>
          <w:szCs w:val="22"/>
          <w:lang w:val="en-US"/>
        </w:rPr>
        <w:t>.</w:t>
      </w:r>
    </w:p>
    <w:p w:rsidR="00DA378C" w:rsidRDefault="00BB07F3"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t>Lindsay S, Adams T, McDougall C, Sanford R. Skill development in an employment-training program for adolescents with disabilities</w:t>
      </w:r>
      <w:r w:rsidR="00137CB8" w:rsidRPr="00DA378C">
        <w:rPr>
          <w:sz w:val="22"/>
          <w:szCs w:val="22"/>
          <w:lang w:val="en-US"/>
        </w:rPr>
        <w:t xml:space="preserve">. Disability and </w:t>
      </w:r>
      <w:r w:rsidR="00610742" w:rsidRPr="00DA378C">
        <w:rPr>
          <w:sz w:val="22"/>
          <w:szCs w:val="22"/>
          <w:lang w:val="en-US"/>
        </w:rPr>
        <w:t>R</w:t>
      </w:r>
      <w:r w:rsidR="00137CB8" w:rsidRPr="00DA378C">
        <w:rPr>
          <w:sz w:val="22"/>
          <w:szCs w:val="22"/>
          <w:lang w:val="en-US"/>
        </w:rPr>
        <w:t>ehabilitation</w:t>
      </w:r>
      <w:r w:rsidR="0040338E">
        <w:rPr>
          <w:sz w:val="22"/>
          <w:szCs w:val="22"/>
          <w:lang w:val="en-US"/>
        </w:rPr>
        <w:t xml:space="preserve"> 2012;34</w:t>
      </w:r>
      <w:r w:rsidRPr="00DA378C">
        <w:rPr>
          <w:sz w:val="22"/>
          <w:szCs w:val="22"/>
          <w:lang w:val="en-US"/>
        </w:rPr>
        <w:t>:228-37.</w:t>
      </w:r>
      <w:bookmarkStart w:id="6" w:name="_ENREF_13"/>
      <w:bookmarkEnd w:id="5"/>
    </w:p>
    <w:p w:rsidR="00DA378C" w:rsidRDefault="00942A3B"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t>Employee Insurance Agency</w:t>
      </w:r>
      <w:r w:rsidR="00BB07F3" w:rsidRPr="00DA378C">
        <w:rPr>
          <w:sz w:val="22"/>
          <w:szCs w:val="22"/>
          <w:lang w:val="en-US"/>
        </w:rPr>
        <w:t xml:space="preserve">. </w:t>
      </w:r>
      <w:r w:rsidR="00BB07F3" w:rsidRPr="00180FAB">
        <w:rPr>
          <w:sz w:val="22"/>
          <w:szCs w:val="22"/>
          <w:lang w:val="en-US"/>
        </w:rPr>
        <w:t>Fe</w:t>
      </w:r>
      <w:r w:rsidRPr="00180FAB">
        <w:rPr>
          <w:sz w:val="22"/>
          <w:szCs w:val="22"/>
          <w:lang w:val="en-US"/>
        </w:rPr>
        <w:t>iten en cijfers over de waj</w:t>
      </w:r>
      <w:r w:rsidR="005824DB" w:rsidRPr="00180FAB">
        <w:rPr>
          <w:sz w:val="22"/>
          <w:szCs w:val="22"/>
          <w:lang w:val="en-US"/>
        </w:rPr>
        <w:t>ong [statistics on the Wajong]</w:t>
      </w:r>
      <w:r w:rsidR="00384F81" w:rsidRPr="00180FAB">
        <w:rPr>
          <w:sz w:val="22"/>
          <w:szCs w:val="22"/>
          <w:lang w:val="en-US"/>
        </w:rPr>
        <w:t>,</w:t>
      </w:r>
      <w:r w:rsidR="005824DB" w:rsidRPr="00180FAB">
        <w:rPr>
          <w:sz w:val="22"/>
          <w:szCs w:val="22"/>
          <w:lang w:val="en-US"/>
        </w:rPr>
        <w:t xml:space="preserve"> </w:t>
      </w:r>
      <w:r w:rsidR="006E596F" w:rsidRPr="00180FAB">
        <w:rPr>
          <w:sz w:val="22"/>
          <w:szCs w:val="22"/>
          <w:lang w:val="en-US"/>
        </w:rPr>
        <w:t>http://wwwuwvnl/overu</w:t>
      </w:r>
      <w:r w:rsidRPr="00180FAB">
        <w:rPr>
          <w:sz w:val="22"/>
          <w:szCs w:val="22"/>
          <w:lang w:val="en-US"/>
        </w:rPr>
        <w:t>wv/</w:t>
      </w:r>
      <w:r w:rsidR="00BE4D7A" w:rsidRPr="00180FAB">
        <w:rPr>
          <w:sz w:val="22"/>
          <w:szCs w:val="22"/>
          <w:lang w:val="en-US"/>
        </w:rPr>
        <w:t xml:space="preserve">Images/C%26T2015-11pdf </w:t>
      </w:r>
      <w:r w:rsidR="00384F81" w:rsidRPr="00180FAB">
        <w:rPr>
          <w:sz w:val="22"/>
          <w:szCs w:val="22"/>
          <w:lang w:val="en-US"/>
        </w:rPr>
        <w:t>; 2015</w:t>
      </w:r>
      <w:r w:rsidR="00BE4D7A" w:rsidRPr="00180FAB">
        <w:rPr>
          <w:sz w:val="22"/>
          <w:szCs w:val="22"/>
          <w:lang w:val="en-US"/>
        </w:rPr>
        <w:t xml:space="preserve"> </w:t>
      </w:r>
      <w:r w:rsidR="00384F81" w:rsidRPr="00384F81">
        <w:rPr>
          <w:sz w:val="22"/>
          <w:szCs w:val="22"/>
          <w:lang w:val="en-US"/>
        </w:rPr>
        <w:t>[a</w:t>
      </w:r>
      <w:r w:rsidR="00BE4D7A" w:rsidRPr="00DA378C">
        <w:rPr>
          <w:sz w:val="22"/>
          <w:szCs w:val="22"/>
          <w:lang w:val="en-US"/>
        </w:rPr>
        <w:t>cc</w:t>
      </w:r>
      <w:r w:rsidRPr="00DA378C">
        <w:rPr>
          <w:sz w:val="22"/>
          <w:szCs w:val="22"/>
          <w:lang w:val="en-US"/>
        </w:rPr>
        <w:t>essed</w:t>
      </w:r>
      <w:r w:rsidR="00384F81">
        <w:rPr>
          <w:sz w:val="22"/>
          <w:szCs w:val="22"/>
          <w:lang w:val="en-US"/>
        </w:rPr>
        <w:t xml:space="preserve"> 22.02.16]</w:t>
      </w:r>
      <w:bookmarkEnd w:id="6"/>
      <w:r w:rsidRPr="00DA378C">
        <w:rPr>
          <w:sz w:val="22"/>
          <w:szCs w:val="22"/>
          <w:lang w:val="en-US"/>
        </w:rPr>
        <w:t>.</w:t>
      </w:r>
      <w:bookmarkStart w:id="7" w:name="_ENREF_14"/>
    </w:p>
    <w:p w:rsidR="00DA378C" w:rsidRDefault="00BB07F3"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t>Verhoof E, Maurice-Stam H, Heymans H, Grootenhuis M. Growing into disability benefits? Psychosocial course of life of young adults with a chronic somatic disease or disability. Acta Paediatr</w:t>
      </w:r>
      <w:r w:rsidR="00B71AAF" w:rsidRPr="00DA378C">
        <w:rPr>
          <w:sz w:val="22"/>
          <w:szCs w:val="22"/>
          <w:lang w:val="en-US"/>
        </w:rPr>
        <w:t>ica</w:t>
      </w:r>
      <w:r w:rsidR="0040338E">
        <w:rPr>
          <w:sz w:val="22"/>
          <w:szCs w:val="22"/>
          <w:lang w:val="en-US"/>
        </w:rPr>
        <w:t xml:space="preserve"> 2012;101</w:t>
      </w:r>
      <w:r w:rsidRPr="00DA378C">
        <w:rPr>
          <w:sz w:val="22"/>
          <w:szCs w:val="22"/>
          <w:lang w:val="en-US"/>
        </w:rPr>
        <w:t>:e19-26.</w:t>
      </w:r>
      <w:bookmarkStart w:id="8" w:name="_ENREF_15"/>
      <w:bookmarkEnd w:id="7"/>
    </w:p>
    <w:p w:rsidR="00DA378C" w:rsidRPr="00180FAB" w:rsidRDefault="00942A3B"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t>Employee Insurance Agency</w:t>
      </w:r>
      <w:r w:rsidR="00BB07F3" w:rsidRPr="00DA378C">
        <w:rPr>
          <w:sz w:val="22"/>
          <w:szCs w:val="22"/>
          <w:lang w:val="en-US"/>
        </w:rPr>
        <w:t xml:space="preserve">. </w:t>
      </w:r>
      <w:r w:rsidR="00BB07F3" w:rsidRPr="00180FAB">
        <w:rPr>
          <w:sz w:val="22"/>
          <w:szCs w:val="22"/>
          <w:lang w:val="en-US"/>
        </w:rPr>
        <w:t>Statistische tijdsreeksen 2012</w:t>
      </w:r>
      <w:r w:rsidRPr="00180FAB">
        <w:rPr>
          <w:sz w:val="22"/>
          <w:szCs w:val="22"/>
          <w:lang w:val="en-US"/>
        </w:rPr>
        <w:t xml:space="preserve"> [Statistical trends 2012]</w:t>
      </w:r>
      <w:r w:rsidR="00384F81" w:rsidRPr="00180FAB">
        <w:rPr>
          <w:sz w:val="22"/>
          <w:szCs w:val="22"/>
          <w:lang w:val="en-US"/>
        </w:rPr>
        <w:t>,</w:t>
      </w:r>
      <w:r w:rsidR="005824DB" w:rsidRPr="00180FAB">
        <w:rPr>
          <w:sz w:val="22"/>
          <w:szCs w:val="22"/>
          <w:lang w:val="en-US"/>
        </w:rPr>
        <w:t xml:space="preserve"> </w:t>
      </w:r>
      <w:r w:rsidR="00384F81" w:rsidRPr="00180FAB">
        <w:rPr>
          <w:sz w:val="22"/>
          <w:szCs w:val="22"/>
          <w:lang w:val="en-US"/>
        </w:rPr>
        <w:t>http://wwwuwvnl/overuwv/kennis-cijfers-en-onderzoek/statistische-informatie/statistische-tijdreeksen-2012aspx; 2012 [a</w:t>
      </w:r>
      <w:r w:rsidRPr="00180FAB">
        <w:rPr>
          <w:sz w:val="22"/>
          <w:szCs w:val="22"/>
          <w:lang w:val="en-US"/>
        </w:rPr>
        <w:t>ssessed</w:t>
      </w:r>
      <w:r w:rsidR="00BB07F3" w:rsidRPr="00180FAB">
        <w:rPr>
          <w:sz w:val="22"/>
          <w:szCs w:val="22"/>
          <w:lang w:val="en-US"/>
        </w:rPr>
        <w:t xml:space="preserve"> </w:t>
      </w:r>
      <w:r w:rsidR="00384F81" w:rsidRPr="00180FAB">
        <w:rPr>
          <w:sz w:val="22"/>
          <w:szCs w:val="22"/>
          <w:lang w:val="en-US"/>
        </w:rPr>
        <w:t>14.04.16]</w:t>
      </w:r>
      <w:r w:rsidR="00BB07F3" w:rsidRPr="00180FAB">
        <w:rPr>
          <w:sz w:val="22"/>
          <w:szCs w:val="22"/>
          <w:lang w:val="en-US"/>
        </w:rPr>
        <w:t>.</w:t>
      </w:r>
      <w:bookmarkStart w:id="9" w:name="_ENREF_16"/>
      <w:bookmarkEnd w:id="8"/>
    </w:p>
    <w:p w:rsidR="00DA378C" w:rsidRDefault="00BE4D7A" w:rsidP="00DA378C">
      <w:pPr>
        <w:pStyle w:val="Lijstalinea"/>
        <w:numPr>
          <w:ilvl w:val="0"/>
          <w:numId w:val="3"/>
        </w:numPr>
        <w:spacing w:line="480" w:lineRule="auto"/>
        <w:ind w:left="709" w:hanging="709"/>
        <w:outlineLvl w:val="0"/>
        <w:rPr>
          <w:sz w:val="22"/>
          <w:szCs w:val="22"/>
          <w:lang w:val="en-US"/>
        </w:rPr>
      </w:pPr>
      <w:r w:rsidRPr="00DA378C">
        <w:rPr>
          <w:sz w:val="22"/>
          <w:szCs w:val="22"/>
        </w:rPr>
        <w:t>Jehoel-Gijsbers G</w:t>
      </w:r>
      <w:r w:rsidR="00BB07F3" w:rsidRPr="00DA378C">
        <w:rPr>
          <w:sz w:val="22"/>
          <w:szCs w:val="22"/>
        </w:rPr>
        <w:t xml:space="preserve">. Beperkt aan het werk: rapportage ziekteverzuim, arbeidsongeschiktheid, een arbeidsparticipatie. </w:t>
      </w:r>
      <w:r w:rsidR="00BB07F3" w:rsidRPr="00DA378C">
        <w:rPr>
          <w:sz w:val="22"/>
          <w:szCs w:val="22"/>
          <w:lang w:val="en-US"/>
        </w:rPr>
        <w:t>[Limited to work: reporting absentisms, disability and employment]. Den Haa</w:t>
      </w:r>
      <w:r w:rsidRPr="00DA378C">
        <w:rPr>
          <w:sz w:val="22"/>
          <w:szCs w:val="22"/>
          <w:lang w:val="en-US"/>
        </w:rPr>
        <w:t xml:space="preserve">g: Sociaal </w:t>
      </w:r>
      <w:r w:rsidR="00973389" w:rsidRPr="00DA378C">
        <w:rPr>
          <w:sz w:val="22"/>
          <w:szCs w:val="22"/>
          <w:lang w:val="en-US"/>
        </w:rPr>
        <w:t>C</w:t>
      </w:r>
      <w:r w:rsidRPr="00DA378C">
        <w:rPr>
          <w:sz w:val="22"/>
          <w:szCs w:val="22"/>
          <w:lang w:val="en-US"/>
        </w:rPr>
        <w:t xml:space="preserve">ultureel </w:t>
      </w:r>
      <w:r w:rsidR="00973389" w:rsidRPr="00DA378C">
        <w:rPr>
          <w:sz w:val="22"/>
          <w:szCs w:val="22"/>
          <w:lang w:val="en-US"/>
        </w:rPr>
        <w:t>P</w:t>
      </w:r>
      <w:r w:rsidRPr="00DA378C">
        <w:rPr>
          <w:sz w:val="22"/>
          <w:szCs w:val="22"/>
          <w:lang w:val="en-US"/>
        </w:rPr>
        <w:t>lanbureau</w:t>
      </w:r>
      <w:r w:rsidR="005F05BA" w:rsidRPr="00DA378C">
        <w:rPr>
          <w:sz w:val="22"/>
          <w:szCs w:val="22"/>
          <w:lang w:val="en-US"/>
        </w:rPr>
        <w:t>;</w:t>
      </w:r>
      <w:r w:rsidR="00BB07F3" w:rsidRPr="00DA378C">
        <w:rPr>
          <w:sz w:val="22"/>
          <w:szCs w:val="22"/>
          <w:lang w:val="en-US"/>
        </w:rPr>
        <w:t xml:space="preserve"> 2010.</w:t>
      </w:r>
      <w:bookmarkStart w:id="10" w:name="_ENREF_17"/>
      <w:bookmarkEnd w:id="9"/>
    </w:p>
    <w:p w:rsidR="00DA378C" w:rsidRPr="00DA378C" w:rsidRDefault="00BB07F3" w:rsidP="00DA378C">
      <w:pPr>
        <w:pStyle w:val="Lijstalinea"/>
        <w:numPr>
          <w:ilvl w:val="0"/>
          <w:numId w:val="3"/>
        </w:numPr>
        <w:spacing w:line="480" w:lineRule="auto"/>
        <w:ind w:left="709" w:hanging="709"/>
        <w:outlineLvl w:val="0"/>
        <w:rPr>
          <w:sz w:val="22"/>
          <w:szCs w:val="22"/>
          <w:lang w:val="en-US"/>
        </w:rPr>
      </w:pPr>
      <w:r w:rsidRPr="00DA378C">
        <w:rPr>
          <w:sz w:val="22"/>
          <w:szCs w:val="22"/>
        </w:rPr>
        <w:t>Haverman L, Verhoof EJ, Maurice-Stam H,</w:t>
      </w:r>
      <w:r w:rsidR="00137CB8" w:rsidRPr="00DA378C">
        <w:rPr>
          <w:sz w:val="22"/>
          <w:szCs w:val="22"/>
        </w:rPr>
        <w:t xml:space="preserve"> et al.</w:t>
      </w:r>
      <w:r w:rsidRPr="00DA378C">
        <w:rPr>
          <w:sz w:val="22"/>
          <w:szCs w:val="22"/>
        </w:rPr>
        <w:t xml:space="preserve"> </w:t>
      </w:r>
      <w:r w:rsidRPr="00DA378C">
        <w:rPr>
          <w:sz w:val="22"/>
          <w:szCs w:val="22"/>
          <w:lang w:val="en-US"/>
        </w:rPr>
        <w:t>Health-related quality of life and psychosocial developmental trajectory in young female benef</w:t>
      </w:r>
      <w:r w:rsidR="00137CB8" w:rsidRPr="00DA378C">
        <w:rPr>
          <w:sz w:val="22"/>
          <w:szCs w:val="22"/>
          <w:lang w:val="en-US"/>
        </w:rPr>
        <w:t xml:space="preserve">iciaries with JIA. </w:t>
      </w:r>
      <w:r w:rsidR="00137CB8" w:rsidRPr="00DA378C">
        <w:rPr>
          <w:sz w:val="22"/>
          <w:szCs w:val="22"/>
        </w:rPr>
        <w:t xml:space="preserve">Rheumatology </w:t>
      </w:r>
      <w:r w:rsidR="0040338E">
        <w:rPr>
          <w:sz w:val="22"/>
          <w:szCs w:val="22"/>
        </w:rPr>
        <w:t>2012;51</w:t>
      </w:r>
      <w:r w:rsidRPr="00DA378C">
        <w:rPr>
          <w:sz w:val="22"/>
          <w:szCs w:val="22"/>
        </w:rPr>
        <w:t>:368-</w:t>
      </w:r>
      <w:r w:rsidR="0040338E">
        <w:rPr>
          <w:sz w:val="22"/>
          <w:szCs w:val="22"/>
        </w:rPr>
        <w:t>3</w:t>
      </w:r>
      <w:r w:rsidRPr="00DA378C">
        <w:rPr>
          <w:sz w:val="22"/>
          <w:szCs w:val="22"/>
        </w:rPr>
        <w:t>74.</w:t>
      </w:r>
      <w:bookmarkStart w:id="11" w:name="_ENREF_18"/>
      <w:bookmarkEnd w:id="10"/>
    </w:p>
    <w:p w:rsidR="00DA378C" w:rsidRDefault="00C27D3C" w:rsidP="00DA378C">
      <w:pPr>
        <w:pStyle w:val="Lijstalinea"/>
        <w:numPr>
          <w:ilvl w:val="0"/>
          <w:numId w:val="3"/>
        </w:numPr>
        <w:spacing w:line="480" w:lineRule="auto"/>
        <w:ind w:left="709" w:hanging="709"/>
        <w:outlineLvl w:val="0"/>
        <w:rPr>
          <w:sz w:val="22"/>
          <w:szCs w:val="22"/>
          <w:lang w:val="en-US"/>
        </w:rPr>
      </w:pPr>
      <w:r w:rsidRPr="00DA378C">
        <w:rPr>
          <w:sz w:val="22"/>
          <w:szCs w:val="22"/>
        </w:rPr>
        <w:t xml:space="preserve">Maurice-Stam H, Verhoof EJ, Caron HN, Grootenhuis MA. </w:t>
      </w:r>
      <w:r w:rsidRPr="00DA378C">
        <w:rPr>
          <w:sz w:val="22"/>
          <w:szCs w:val="22"/>
          <w:lang w:val="en-US"/>
        </w:rPr>
        <w:t>Are survivors of childhood cancer with an unfavourable psychosocial developmental trajectory more likely to apply for disa</w:t>
      </w:r>
      <w:r w:rsidR="00CA719B">
        <w:rPr>
          <w:sz w:val="22"/>
          <w:szCs w:val="22"/>
          <w:lang w:val="en-US"/>
        </w:rPr>
        <w:t>bility benefits? Psychooncology</w:t>
      </w:r>
      <w:r w:rsidR="0040338E">
        <w:rPr>
          <w:sz w:val="22"/>
          <w:szCs w:val="22"/>
          <w:lang w:val="en-US"/>
        </w:rPr>
        <w:t xml:space="preserve"> 2013;22</w:t>
      </w:r>
      <w:r w:rsidRPr="00DA378C">
        <w:rPr>
          <w:sz w:val="22"/>
          <w:szCs w:val="22"/>
          <w:lang w:val="en-US"/>
        </w:rPr>
        <w:t>:708-</w:t>
      </w:r>
      <w:r w:rsidR="0040338E">
        <w:rPr>
          <w:sz w:val="22"/>
          <w:szCs w:val="22"/>
          <w:lang w:val="en-US"/>
        </w:rPr>
        <w:t>7</w:t>
      </w:r>
      <w:r w:rsidRPr="00DA378C">
        <w:rPr>
          <w:sz w:val="22"/>
          <w:szCs w:val="22"/>
          <w:lang w:val="en-US"/>
        </w:rPr>
        <w:t>14.</w:t>
      </w:r>
      <w:bookmarkEnd w:id="11"/>
    </w:p>
    <w:p w:rsidR="00DA378C" w:rsidRDefault="00C27D3C"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lastRenderedPageBreak/>
        <w:t xml:space="preserve">Verhoof E, Maurice-Stam H, Heymans H, Grootenhuis M. Health-related quality of life, anxiety and depression in young adults with disability benefits due to childhood-onset somatic conditions. </w:t>
      </w:r>
      <w:r w:rsidR="00B71AAF" w:rsidRPr="00DA378C">
        <w:rPr>
          <w:sz w:val="22"/>
          <w:szCs w:val="22"/>
          <w:lang w:val="en-US"/>
        </w:rPr>
        <w:t>Child and Adolescent Psychiatry and Mental Health</w:t>
      </w:r>
      <w:r w:rsidR="0040338E">
        <w:rPr>
          <w:sz w:val="22"/>
          <w:szCs w:val="22"/>
          <w:lang w:val="en-US"/>
        </w:rPr>
        <w:t xml:space="preserve"> 2013;7</w:t>
      </w:r>
      <w:r w:rsidRPr="00DA378C">
        <w:rPr>
          <w:sz w:val="22"/>
          <w:szCs w:val="22"/>
          <w:lang w:val="en-US"/>
        </w:rPr>
        <w:t>:12.</w:t>
      </w:r>
      <w:bookmarkStart w:id="12" w:name="_ENREF_20"/>
    </w:p>
    <w:p w:rsidR="00DA378C" w:rsidRDefault="00BB07F3"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t>Sattoe JN</w:t>
      </w:r>
      <w:r w:rsidR="00610742" w:rsidRPr="00DA378C">
        <w:rPr>
          <w:sz w:val="22"/>
          <w:szCs w:val="22"/>
          <w:lang w:val="en-US"/>
        </w:rPr>
        <w:t>T</w:t>
      </w:r>
      <w:r w:rsidRPr="00DA378C">
        <w:rPr>
          <w:sz w:val="22"/>
          <w:szCs w:val="22"/>
          <w:lang w:val="en-US"/>
        </w:rPr>
        <w:t xml:space="preserve">, Hilberink SR, van Staa A, Bal R. Lagging behind or not? Four distinctive social participation patterns among young adults with chronic conditions. </w:t>
      </w:r>
      <w:r w:rsidR="00610742" w:rsidRPr="00DA378C">
        <w:rPr>
          <w:sz w:val="22"/>
          <w:szCs w:val="22"/>
          <w:lang w:val="en-US"/>
        </w:rPr>
        <w:t>J</w:t>
      </w:r>
      <w:r w:rsidR="00137CB8" w:rsidRPr="00DA378C">
        <w:rPr>
          <w:sz w:val="22"/>
          <w:szCs w:val="22"/>
          <w:lang w:val="en-US"/>
        </w:rPr>
        <w:t xml:space="preserve">ournal of </w:t>
      </w:r>
      <w:r w:rsidR="00610742" w:rsidRPr="00DA378C">
        <w:rPr>
          <w:sz w:val="22"/>
          <w:szCs w:val="22"/>
          <w:lang w:val="en-US"/>
        </w:rPr>
        <w:t>Adolescent H</w:t>
      </w:r>
      <w:r w:rsidR="00137CB8" w:rsidRPr="00DA378C">
        <w:rPr>
          <w:sz w:val="22"/>
          <w:szCs w:val="22"/>
          <w:lang w:val="en-US"/>
        </w:rPr>
        <w:t>ealth</w:t>
      </w:r>
      <w:r w:rsidR="005F05BA" w:rsidRPr="00DA378C">
        <w:rPr>
          <w:sz w:val="22"/>
          <w:szCs w:val="22"/>
          <w:lang w:val="en-US"/>
        </w:rPr>
        <w:t xml:space="preserve"> </w:t>
      </w:r>
      <w:r w:rsidR="0040338E">
        <w:rPr>
          <w:sz w:val="22"/>
          <w:szCs w:val="22"/>
          <w:lang w:val="en-US"/>
        </w:rPr>
        <w:t>2014;54:</w:t>
      </w:r>
      <w:r w:rsidRPr="00DA378C">
        <w:rPr>
          <w:sz w:val="22"/>
          <w:szCs w:val="22"/>
          <w:lang w:val="en-US"/>
        </w:rPr>
        <w:t>397-403.</w:t>
      </w:r>
      <w:bookmarkStart w:id="13" w:name="_ENREF_21"/>
      <w:bookmarkEnd w:id="12"/>
    </w:p>
    <w:p w:rsidR="00DA378C" w:rsidRDefault="00BB07F3" w:rsidP="00DA378C">
      <w:pPr>
        <w:pStyle w:val="Lijstalinea"/>
        <w:numPr>
          <w:ilvl w:val="0"/>
          <w:numId w:val="3"/>
        </w:numPr>
        <w:spacing w:line="480" w:lineRule="auto"/>
        <w:ind w:left="709" w:hanging="709"/>
        <w:outlineLvl w:val="0"/>
        <w:rPr>
          <w:sz w:val="22"/>
          <w:szCs w:val="22"/>
          <w:lang w:val="en-US"/>
        </w:rPr>
      </w:pPr>
      <w:r w:rsidRPr="00DA378C">
        <w:rPr>
          <w:sz w:val="22"/>
          <w:szCs w:val="22"/>
        </w:rPr>
        <w:t>de Klerk M</w:t>
      </w:r>
      <w:r w:rsidR="008E0F9D" w:rsidRPr="00DA378C">
        <w:rPr>
          <w:sz w:val="22"/>
          <w:szCs w:val="22"/>
        </w:rPr>
        <w:t>,</w:t>
      </w:r>
      <w:r w:rsidRPr="00DA378C">
        <w:rPr>
          <w:sz w:val="22"/>
          <w:szCs w:val="22"/>
        </w:rPr>
        <w:t xml:space="preserve"> I</w:t>
      </w:r>
      <w:r w:rsidR="008E0F9D" w:rsidRPr="00DA378C">
        <w:rPr>
          <w:sz w:val="22"/>
          <w:szCs w:val="22"/>
        </w:rPr>
        <w:t xml:space="preserve">edema </w:t>
      </w:r>
      <w:r w:rsidRPr="00DA378C">
        <w:rPr>
          <w:sz w:val="22"/>
          <w:szCs w:val="22"/>
        </w:rPr>
        <w:t xml:space="preserve">J, van Campen C. SCP-maat voor lichamelijke beperkingen op basis van AVO 2003 [SCP measure for physical limitations based on AVO 2003]. </w:t>
      </w:r>
      <w:r w:rsidRPr="00DA378C">
        <w:rPr>
          <w:sz w:val="22"/>
          <w:szCs w:val="22"/>
          <w:lang w:val="en-US"/>
        </w:rPr>
        <w:t>Den Haag, The Netherlands</w:t>
      </w:r>
      <w:r w:rsidR="005F05BA" w:rsidRPr="00DA378C">
        <w:rPr>
          <w:sz w:val="22"/>
          <w:szCs w:val="22"/>
          <w:lang w:val="en-US"/>
        </w:rPr>
        <w:t>: Sociaal Cultureel Planbureau;</w:t>
      </w:r>
      <w:r w:rsidR="00942A3B" w:rsidRPr="00DA378C">
        <w:rPr>
          <w:sz w:val="22"/>
          <w:szCs w:val="22"/>
          <w:lang w:val="en-US"/>
        </w:rPr>
        <w:t xml:space="preserve"> </w:t>
      </w:r>
      <w:r w:rsidRPr="00DA378C">
        <w:rPr>
          <w:sz w:val="22"/>
          <w:szCs w:val="22"/>
          <w:lang w:val="en-US"/>
        </w:rPr>
        <w:t>2006.</w:t>
      </w:r>
      <w:bookmarkStart w:id="14" w:name="_ENREF_22"/>
      <w:bookmarkEnd w:id="13"/>
    </w:p>
    <w:p w:rsidR="00DA378C" w:rsidRDefault="00BB07F3"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t>van Staa AL</w:t>
      </w:r>
      <w:r w:rsidR="00942A3B" w:rsidRPr="00DA378C">
        <w:rPr>
          <w:sz w:val="22"/>
          <w:szCs w:val="22"/>
          <w:lang w:val="en-US"/>
        </w:rPr>
        <w:t>,</w:t>
      </w:r>
      <w:r w:rsidRPr="00DA378C">
        <w:rPr>
          <w:sz w:val="22"/>
          <w:szCs w:val="22"/>
          <w:lang w:val="en-US"/>
        </w:rPr>
        <w:t xml:space="preserve"> S</w:t>
      </w:r>
      <w:r w:rsidR="00942A3B" w:rsidRPr="00DA378C">
        <w:rPr>
          <w:sz w:val="22"/>
          <w:szCs w:val="22"/>
          <w:lang w:val="en-US"/>
        </w:rPr>
        <w:t>trating MMH,</w:t>
      </w:r>
      <w:r w:rsidRPr="00DA378C">
        <w:rPr>
          <w:sz w:val="22"/>
          <w:szCs w:val="22"/>
          <w:lang w:val="en-US"/>
        </w:rPr>
        <w:t xml:space="preserve"> On </w:t>
      </w:r>
      <w:r w:rsidR="00C17698" w:rsidRPr="00DA378C">
        <w:rPr>
          <w:sz w:val="22"/>
          <w:szCs w:val="22"/>
          <w:lang w:val="en-US"/>
        </w:rPr>
        <w:t xml:space="preserve">Your Own Feet Research Group. </w:t>
      </w:r>
      <w:r w:rsidRPr="00DA378C">
        <w:rPr>
          <w:sz w:val="22"/>
          <w:szCs w:val="22"/>
          <w:lang w:val="en-US"/>
        </w:rPr>
        <w:t>On Your Own Feet Self-Efficacy Scale: Development and validation of a generic instrument f</w:t>
      </w:r>
      <w:r w:rsidR="00384F81">
        <w:rPr>
          <w:sz w:val="22"/>
          <w:szCs w:val="22"/>
          <w:lang w:val="en-US"/>
        </w:rPr>
        <w:t>or chronically ill adolescents,</w:t>
      </w:r>
      <w:r w:rsidR="005824DB" w:rsidRPr="00DA378C">
        <w:rPr>
          <w:sz w:val="22"/>
          <w:szCs w:val="22"/>
          <w:lang w:val="en-US"/>
        </w:rPr>
        <w:t xml:space="preserve"> </w:t>
      </w:r>
      <w:r w:rsidRPr="00DA378C">
        <w:rPr>
          <w:sz w:val="22"/>
          <w:szCs w:val="22"/>
          <w:lang w:val="en-US"/>
        </w:rPr>
        <w:t>http://repubeurnl/</w:t>
      </w:r>
      <w:r w:rsidR="00942A3B" w:rsidRPr="00DA378C">
        <w:rPr>
          <w:sz w:val="22"/>
          <w:szCs w:val="22"/>
          <w:lang w:val="en-US"/>
        </w:rPr>
        <w:t xml:space="preserve"> res/pub/32973</w:t>
      </w:r>
      <w:r w:rsidR="00384F81">
        <w:rPr>
          <w:sz w:val="22"/>
          <w:szCs w:val="22"/>
          <w:lang w:val="en-US"/>
        </w:rPr>
        <w:t>; 2012 [a</w:t>
      </w:r>
      <w:r w:rsidR="008E0F9D" w:rsidRPr="00DA378C">
        <w:rPr>
          <w:sz w:val="22"/>
          <w:szCs w:val="22"/>
          <w:lang w:val="en-US"/>
        </w:rPr>
        <w:t xml:space="preserve">ccessed </w:t>
      </w:r>
      <w:r w:rsidR="00384F81">
        <w:rPr>
          <w:sz w:val="22"/>
          <w:szCs w:val="22"/>
          <w:lang w:val="en-US"/>
        </w:rPr>
        <w:t>22.02.16]</w:t>
      </w:r>
      <w:r w:rsidRPr="00DA378C">
        <w:rPr>
          <w:sz w:val="22"/>
          <w:szCs w:val="22"/>
          <w:lang w:val="en-US"/>
        </w:rPr>
        <w:t>.</w:t>
      </w:r>
      <w:bookmarkStart w:id="15" w:name="_ENREF_23"/>
      <w:bookmarkEnd w:id="14"/>
    </w:p>
    <w:p w:rsidR="00DA378C" w:rsidRPr="00DA378C" w:rsidRDefault="00091D30" w:rsidP="00DA378C">
      <w:pPr>
        <w:pStyle w:val="Lijstalinea"/>
        <w:numPr>
          <w:ilvl w:val="0"/>
          <w:numId w:val="3"/>
        </w:numPr>
        <w:spacing w:line="480" w:lineRule="auto"/>
        <w:ind w:left="709" w:hanging="709"/>
        <w:outlineLvl w:val="0"/>
        <w:rPr>
          <w:sz w:val="22"/>
          <w:szCs w:val="22"/>
          <w:lang w:val="en-US"/>
        </w:rPr>
      </w:pPr>
      <w:r w:rsidRPr="00F108BD">
        <w:rPr>
          <w:sz w:val="22"/>
          <w:szCs w:val="22"/>
        </w:rPr>
        <w:t xml:space="preserve">Ravens-Sieberer U, Schmidt S, Gosch A, et al. </w:t>
      </w:r>
      <w:r w:rsidR="00BB07F3" w:rsidRPr="00DA378C">
        <w:rPr>
          <w:sz w:val="22"/>
          <w:szCs w:val="22"/>
          <w:lang w:val="en-US"/>
        </w:rPr>
        <w:t xml:space="preserve">Measuring subjective health in children and adolescents: Results of the European KIDSCREEN/DISABKIDS Project. </w:t>
      </w:r>
      <w:r w:rsidR="00C17698" w:rsidRPr="00DA378C">
        <w:rPr>
          <w:sz w:val="22"/>
          <w:szCs w:val="22"/>
        </w:rPr>
        <w:t>Psychosocial Medicine</w:t>
      </w:r>
      <w:r w:rsidR="00BB07F3" w:rsidRPr="00DA378C">
        <w:rPr>
          <w:sz w:val="22"/>
          <w:szCs w:val="22"/>
        </w:rPr>
        <w:t xml:space="preserve"> 2007;12:4.</w:t>
      </w:r>
      <w:bookmarkStart w:id="16" w:name="_ENREF_24"/>
      <w:bookmarkEnd w:id="15"/>
    </w:p>
    <w:p w:rsidR="00DA378C" w:rsidRDefault="00BB07F3" w:rsidP="00DA378C">
      <w:pPr>
        <w:pStyle w:val="Lijstalinea"/>
        <w:numPr>
          <w:ilvl w:val="0"/>
          <w:numId w:val="3"/>
        </w:numPr>
        <w:spacing w:line="480" w:lineRule="auto"/>
        <w:ind w:left="709" w:hanging="709"/>
        <w:outlineLvl w:val="0"/>
        <w:rPr>
          <w:sz w:val="22"/>
          <w:szCs w:val="22"/>
          <w:lang w:val="en-US"/>
        </w:rPr>
      </w:pPr>
      <w:r w:rsidRPr="00DA378C">
        <w:rPr>
          <w:sz w:val="22"/>
          <w:szCs w:val="22"/>
        </w:rPr>
        <w:t>Donkervoort M</w:t>
      </w:r>
      <w:r w:rsidR="00942A3B" w:rsidRPr="00DA378C">
        <w:rPr>
          <w:sz w:val="22"/>
          <w:szCs w:val="22"/>
        </w:rPr>
        <w:t>,</w:t>
      </w:r>
      <w:r w:rsidRPr="00DA378C">
        <w:rPr>
          <w:sz w:val="22"/>
          <w:szCs w:val="22"/>
        </w:rPr>
        <w:t xml:space="preserve"> W</w:t>
      </w:r>
      <w:r w:rsidR="00942A3B" w:rsidRPr="00DA378C">
        <w:rPr>
          <w:sz w:val="22"/>
          <w:szCs w:val="22"/>
        </w:rPr>
        <w:t xml:space="preserve">iegerink </w:t>
      </w:r>
      <w:r w:rsidRPr="00DA378C">
        <w:rPr>
          <w:sz w:val="22"/>
          <w:szCs w:val="22"/>
        </w:rPr>
        <w:t>D</w:t>
      </w:r>
      <w:r w:rsidR="00942A3B" w:rsidRPr="00DA378C">
        <w:rPr>
          <w:sz w:val="22"/>
          <w:szCs w:val="22"/>
        </w:rPr>
        <w:t>J</w:t>
      </w:r>
      <w:r w:rsidRPr="00DA378C">
        <w:rPr>
          <w:sz w:val="22"/>
          <w:szCs w:val="22"/>
        </w:rPr>
        <w:t xml:space="preserve">, van Meeteren J, et al. </w:t>
      </w:r>
      <w:r w:rsidRPr="00DA378C">
        <w:rPr>
          <w:sz w:val="22"/>
          <w:szCs w:val="22"/>
          <w:lang w:val="en-US"/>
        </w:rPr>
        <w:t>Transition to adulthood: Validation of the Rotterdam Transition Profile for young adults with cerebral palsy and normal intelligence. Developmen</w:t>
      </w:r>
      <w:r w:rsidR="00C17698" w:rsidRPr="00DA378C">
        <w:rPr>
          <w:sz w:val="22"/>
          <w:szCs w:val="22"/>
          <w:lang w:val="en-US"/>
        </w:rPr>
        <w:t>tal Medicine of Child Neurology</w:t>
      </w:r>
      <w:r w:rsidRPr="00DA378C">
        <w:rPr>
          <w:sz w:val="22"/>
          <w:szCs w:val="22"/>
          <w:lang w:val="en-US"/>
        </w:rPr>
        <w:t xml:space="preserve"> 2009;51:53-62.</w:t>
      </w:r>
      <w:bookmarkStart w:id="17" w:name="_ENREF_25"/>
      <w:bookmarkEnd w:id="16"/>
    </w:p>
    <w:p w:rsidR="00DA378C" w:rsidRDefault="00091D30" w:rsidP="00DA378C">
      <w:pPr>
        <w:pStyle w:val="Lijstalinea"/>
        <w:numPr>
          <w:ilvl w:val="0"/>
          <w:numId w:val="3"/>
        </w:numPr>
        <w:spacing w:line="480" w:lineRule="auto"/>
        <w:ind w:left="709" w:hanging="709"/>
        <w:outlineLvl w:val="0"/>
        <w:rPr>
          <w:sz w:val="22"/>
          <w:szCs w:val="22"/>
          <w:lang w:val="en-US"/>
        </w:rPr>
      </w:pPr>
      <w:r w:rsidRPr="00F108BD">
        <w:rPr>
          <w:sz w:val="22"/>
          <w:szCs w:val="22"/>
        </w:rPr>
        <w:t xml:space="preserve">Simeoni MC, Schmidt S, Muehlan H, et al. </w:t>
      </w:r>
      <w:r w:rsidR="00BB07F3" w:rsidRPr="00DA378C">
        <w:rPr>
          <w:sz w:val="22"/>
          <w:szCs w:val="22"/>
          <w:lang w:val="en-US"/>
        </w:rPr>
        <w:t>Field testing of a European quality of life instrument for children and adolescents with chronic conditions: The 37-item DISABKIDS Chronic Generic Module. Qualit</w:t>
      </w:r>
      <w:r w:rsidR="00C17698" w:rsidRPr="00DA378C">
        <w:rPr>
          <w:sz w:val="22"/>
          <w:szCs w:val="22"/>
          <w:lang w:val="en-US"/>
        </w:rPr>
        <w:t>y of Life Research</w:t>
      </w:r>
      <w:r w:rsidR="00BB07F3" w:rsidRPr="00DA378C">
        <w:rPr>
          <w:sz w:val="22"/>
          <w:szCs w:val="22"/>
          <w:lang w:val="en-US"/>
        </w:rPr>
        <w:t xml:space="preserve"> 2007;16:881-</w:t>
      </w:r>
      <w:r w:rsidR="0040338E">
        <w:rPr>
          <w:sz w:val="22"/>
          <w:szCs w:val="22"/>
          <w:lang w:val="en-US"/>
        </w:rPr>
        <w:t>8</w:t>
      </w:r>
      <w:r w:rsidR="00BB07F3" w:rsidRPr="00DA378C">
        <w:rPr>
          <w:sz w:val="22"/>
          <w:szCs w:val="22"/>
          <w:lang w:val="en-US"/>
        </w:rPr>
        <w:t>93.</w:t>
      </w:r>
      <w:bookmarkStart w:id="18" w:name="_ENREF_26"/>
      <w:bookmarkEnd w:id="17"/>
    </w:p>
    <w:p w:rsidR="00DA378C" w:rsidRDefault="00BB07F3" w:rsidP="00DA378C">
      <w:pPr>
        <w:pStyle w:val="Lijstalinea"/>
        <w:numPr>
          <w:ilvl w:val="0"/>
          <w:numId w:val="3"/>
        </w:numPr>
        <w:spacing w:line="480" w:lineRule="auto"/>
        <w:ind w:left="709" w:hanging="709"/>
        <w:outlineLvl w:val="0"/>
        <w:rPr>
          <w:sz w:val="22"/>
          <w:szCs w:val="22"/>
          <w:lang w:val="en-US"/>
        </w:rPr>
      </w:pPr>
      <w:r w:rsidRPr="00DA378C">
        <w:rPr>
          <w:sz w:val="22"/>
          <w:szCs w:val="22"/>
          <w:lang w:val="en-US"/>
        </w:rPr>
        <w:t>Roebroeck ME, Jahnsen R, Carona C,</w:t>
      </w:r>
      <w:r w:rsidR="00C17698" w:rsidRPr="00DA378C">
        <w:rPr>
          <w:sz w:val="22"/>
          <w:szCs w:val="22"/>
          <w:lang w:val="en-US"/>
        </w:rPr>
        <w:t xml:space="preserve"> et al</w:t>
      </w:r>
      <w:r w:rsidRPr="00DA378C">
        <w:rPr>
          <w:sz w:val="22"/>
          <w:szCs w:val="22"/>
          <w:lang w:val="en-US"/>
        </w:rPr>
        <w:t>. Adult outcomes and lifespan issues for people with childhood-onset physical disability. Developmenta</w:t>
      </w:r>
      <w:r w:rsidR="00610742" w:rsidRPr="00DA378C">
        <w:rPr>
          <w:sz w:val="22"/>
          <w:szCs w:val="22"/>
          <w:lang w:val="en-US"/>
        </w:rPr>
        <w:t>l M</w:t>
      </w:r>
      <w:r w:rsidR="00C17698" w:rsidRPr="00DA378C">
        <w:rPr>
          <w:sz w:val="22"/>
          <w:szCs w:val="22"/>
          <w:lang w:val="en-US"/>
        </w:rPr>
        <w:t xml:space="preserve">edicine and </w:t>
      </w:r>
      <w:r w:rsidR="00610742" w:rsidRPr="00DA378C">
        <w:rPr>
          <w:sz w:val="22"/>
          <w:szCs w:val="22"/>
          <w:lang w:val="en-US"/>
        </w:rPr>
        <w:t>C</w:t>
      </w:r>
      <w:r w:rsidR="00C17698" w:rsidRPr="00DA378C">
        <w:rPr>
          <w:sz w:val="22"/>
          <w:szCs w:val="22"/>
          <w:lang w:val="en-US"/>
        </w:rPr>
        <w:t xml:space="preserve">hild </w:t>
      </w:r>
      <w:r w:rsidR="00610742" w:rsidRPr="00DA378C">
        <w:rPr>
          <w:sz w:val="22"/>
          <w:szCs w:val="22"/>
          <w:lang w:val="en-US"/>
        </w:rPr>
        <w:t>N</w:t>
      </w:r>
      <w:r w:rsidR="00C17698" w:rsidRPr="00DA378C">
        <w:rPr>
          <w:sz w:val="22"/>
          <w:szCs w:val="22"/>
          <w:lang w:val="en-US"/>
        </w:rPr>
        <w:t xml:space="preserve">eurology </w:t>
      </w:r>
      <w:r w:rsidR="0040338E">
        <w:rPr>
          <w:sz w:val="22"/>
          <w:szCs w:val="22"/>
          <w:lang w:val="en-US"/>
        </w:rPr>
        <w:t>2009;51</w:t>
      </w:r>
      <w:r w:rsidRPr="00DA378C">
        <w:rPr>
          <w:sz w:val="22"/>
          <w:szCs w:val="22"/>
          <w:lang w:val="en-US"/>
        </w:rPr>
        <w:t>:670-</w:t>
      </w:r>
      <w:r w:rsidR="0040338E">
        <w:rPr>
          <w:sz w:val="22"/>
          <w:szCs w:val="22"/>
          <w:lang w:val="en-US"/>
        </w:rPr>
        <w:t>67</w:t>
      </w:r>
      <w:r w:rsidRPr="00DA378C">
        <w:rPr>
          <w:sz w:val="22"/>
          <w:szCs w:val="22"/>
          <w:lang w:val="en-US"/>
        </w:rPr>
        <w:t>8.</w:t>
      </w:r>
      <w:bookmarkStart w:id="19" w:name="_ENREF_27"/>
      <w:bookmarkEnd w:id="18"/>
    </w:p>
    <w:p w:rsidR="00DA378C" w:rsidRDefault="00091D30" w:rsidP="00DA378C">
      <w:pPr>
        <w:pStyle w:val="Lijstalinea"/>
        <w:numPr>
          <w:ilvl w:val="0"/>
          <w:numId w:val="3"/>
        </w:numPr>
        <w:spacing w:line="480" w:lineRule="auto"/>
        <w:ind w:left="709" w:hanging="709"/>
        <w:outlineLvl w:val="0"/>
        <w:rPr>
          <w:sz w:val="22"/>
          <w:szCs w:val="22"/>
          <w:lang w:val="en-US"/>
        </w:rPr>
      </w:pPr>
      <w:r w:rsidRPr="00015A75">
        <w:rPr>
          <w:sz w:val="22"/>
          <w:szCs w:val="22"/>
          <w:lang w:val="en-US"/>
        </w:rPr>
        <w:t xml:space="preserve">Bent N, Tennant A, Swift T, et al. </w:t>
      </w:r>
      <w:r w:rsidR="00BB07F3" w:rsidRPr="00DA378C">
        <w:rPr>
          <w:sz w:val="22"/>
          <w:szCs w:val="22"/>
          <w:lang w:val="en-US"/>
        </w:rPr>
        <w:t>Team approach versus ad hoc health services for young people with physical disabilities: A retr</w:t>
      </w:r>
      <w:r w:rsidR="00FB34E6" w:rsidRPr="00DA378C">
        <w:rPr>
          <w:sz w:val="22"/>
          <w:szCs w:val="22"/>
          <w:lang w:val="en-US"/>
        </w:rPr>
        <w:t xml:space="preserve">ospective cohort study. Lancet </w:t>
      </w:r>
      <w:r w:rsidR="00BB07F3" w:rsidRPr="00DA378C">
        <w:rPr>
          <w:sz w:val="22"/>
          <w:szCs w:val="22"/>
          <w:lang w:val="en-US"/>
        </w:rPr>
        <w:t>2002;360:1280-</w:t>
      </w:r>
      <w:r w:rsidR="0040338E">
        <w:rPr>
          <w:sz w:val="22"/>
          <w:szCs w:val="22"/>
          <w:lang w:val="en-US"/>
        </w:rPr>
        <w:t>128</w:t>
      </w:r>
      <w:r w:rsidR="00BB07F3" w:rsidRPr="00DA378C">
        <w:rPr>
          <w:sz w:val="22"/>
          <w:szCs w:val="22"/>
          <w:lang w:val="en-US"/>
        </w:rPr>
        <w:t>6.</w:t>
      </w:r>
      <w:bookmarkStart w:id="20" w:name="_ENREF_28"/>
      <w:bookmarkEnd w:id="19"/>
    </w:p>
    <w:p w:rsidR="00C90E42" w:rsidRDefault="00BB07F3" w:rsidP="00C90E42">
      <w:pPr>
        <w:pStyle w:val="Lijstalinea"/>
        <w:numPr>
          <w:ilvl w:val="0"/>
          <w:numId w:val="3"/>
        </w:numPr>
        <w:spacing w:line="480" w:lineRule="auto"/>
        <w:ind w:left="709" w:hanging="709"/>
        <w:outlineLvl w:val="0"/>
        <w:rPr>
          <w:sz w:val="22"/>
          <w:szCs w:val="22"/>
          <w:lang w:val="en-US"/>
        </w:rPr>
      </w:pPr>
      <w:r w:rsidRPr="00DA378C">
        <w:rPr>
          <w:sz w:val="22"/>
          <w:szCs w:val="22"/>
          <w:lang w:val="en-US"/>
        </w:rPr>
        <w:t xml:space="preserve">Sattoe JN, Hilberink SR, Peeters MA, van Staa A. 'Skills for growing up': supporting autonomy in young people with kidney disease. </w:t>
      </w:r>
      <w:r w:rsidR="00610742" w:rsidRPr="00DA378C">
        <w:rPr>
          <w:sz w:val="22"/>
          <w:szCs w:val="22"/>
          <w:lang w:val="en-US"/>
        </w:rPr>
        <w:t>Journal of R</w:t>
      </w:r>
      <w:r w:rsidR="00C17698" w:rsidRPr="00DA378C">
        <w:rPr>
          <w:sz w:val="22"/>
          <w:szCs w:val="22"/>
          <w:lang w:val="en-US"/>
        </w:rPr>
        <w:t xml:space="preserve">enal </w:t>
      </w:r>
      <w:r w:rsidR="00610742" w:rsidRPr="00DA378C">
        <w:rPr>
          <w:sz w:val="22"/>
          <w:szCs w:val="22"/>
          <w:lang w:val="en-US"/>
        </w:rPr>
        <w:t>C</w:t>
      </w:r>
      <w:r w:rsidR="00C17698" w:rsidRPr="00DA378C">
        <w:rPr>
          <w:sz w:val="22"/>
          <w:szCs w:val="22"/>
          <w:lang w:val="en-US"/>
        </w:rPr>
        <w:t>are</w:t>
      </w:r>
      <w:r w:rsidR="0040338E">
        <w:rPr>
          <w:sz w:val="22"/>
          <w:szCs w:val="22"/>
          <w:lang w:val="en-US"/>
        </w:rPr>
        <w:t xml:space="preserve"> 2014;40</w:t>
      </w:r>
      <w:r w:rsidRPr="00DA378C">
        <w:rPr>
          <w:sz w:val="22"/>
          <w:szCs w:val="22"/>
          <w:lang w:val="en-US"/>
        </w:rPr>
        <w:t>:131-</w:t>
      </w:r>
      <w:r w:rsidR="0040338E">
        <w:rPr>
          <w:sz w:val="22"/>
          <w:szCs w:val="22"/>
          <w:lang w:val="en-US"/>
        </w:rPr>
        <w:t>13</w:t>
      </w:r>
      <w:r w:rsidRPr="00DA378C">
        <w:rPr>
          <w:sz w:val="22"/>
          <w:szCs w:val="22"/>
          <w:lang w:val="en-US"/>
        </w:rPr>
        <w:t>9.</w:t>
      </w:r>
      <w:bookmarkStart w:id="21" w:name="_ENREF_29"/>
      <w:bookmarkEnd w:id="20"/>
    </w:p>
    <w:p w:rsidR="00F2776E" w:rsidRDefault="00BB07F3" w:rsidP="00F2776E">
      <w:pPr>
        <w:pStyle w:val="Lijstalinea"/>
        <w:numPr>
          <w:ilvl w:val="0"/>
          <w:numId w:val="3"/>
        </w:numPr>
        <w:spacing w:line="480" w:lineRule="auto"/>
        <w:ind w:left="709" w:hanging="709"/>
        <w:outlineLvl w:val="0"/>
        <w:rPr>
          <w:sz w:val="22"/>
          <w:szCs w:val="22"/>
          <w:lang w:val="en-US"/>
        </w:rPr>
      </w:pPr>
      <w:r w:rsidRPr="00C90E42">
        <w:rPr>
          <w:sz w:val="22"/>
          <w:szCs w:val="22"/>
        </w:rPr>
        <w:lastRenderedPageBreak/>
        <w:t xml:space="preserve">Haverman L, van Rossum MA, van Veenendaal M, et al. </w:t>
      </w:r>
      <w:r w:rsidRPr="00C90E42">
        <w:rPr>
          <w:sz w:val="22"/>
          <w:szCs w:val="22"/>
          <w:lang w:val="en-US"/>
        </w:rPr>
        <w:t>Effectiveness of a web-based application to monitor health-rela</w:t>
      </w:r>
      <w:r w:rsidR="00C17698" w:rsidRPr="00C90E42">
        <w:rPr>
          <w:sz w:val="22"/>
          <w:szCs w:val="22"/>
          <w:lang w:val="en-US"/>
        </w:rPr>
        <w:t>ted quality of life. Pediatrics</w:t>
      </w:r>
      <w:r w:rsidR="0040338E">
        <w:rPr>
          <w:sz w:val="22"/>
          <w:szCs w:val="22"/>
          <w:lang w:val="en-US"/>
        </w:rPr>
        <w:t xml:space="preserve"> 2013;131</w:t>
      </w:r>
      <w:r w:rsidRPr="00C90E42">
        <w:rPr>
          <w:sz w:val="22"/>
          <w:szCs w:val="22"/>
          <w:lang w:val="en-US"/>
        </w:rPr>
        <w:t>:e533-</w:t>
      </w:r>
      <w:r w:rsidR="0040338E">
        <w:rPr>
          <w:sz w:val="22"/>
          <w:szCs w:val="22"/>
          <w:lang w:val="en-US"/>
        </w:rPr>
        <w:t>5</w:t>
      </w:r>
      <w:r w:rsidRPr="00C90E42">
        <w:rPr>
          <w:sz w:val="22"/>
          <w:szCs w:val="22"/>
          <w:lang w:val="en-US"/>
        </w:rPr>
        <w:t>43.</w:t>
      </w:r>
      <w:bookmarkStart w:id="22" w:name="_ENREF_30"/>
      <w:bookmarkEnd w:id="21"/>
    </w:p>
    <w:p w:rsidR="00F2776E" w:rsidRPr="00F2776E" w:rsidRDefault="00F2776E" w:rsidP="00F2776E">
      <w:pPr>
        <w:pStyle w:val="Lijstalinea"/>
        <w:numPr>
          <w:ilvl w:val="0"/>
          <w:numId w:val="3"/>
        </w:numPr>
        <w:spacing w:line="480" w:lineRule="auto"/>
        <w:ind w:left="709" w:hanging="709"/>
        <w:outlineLvl w:val="0"/>
        <w:rPr>
          <w:sz w:val="22"/>
          <w:szCs w:val="22"/>
          <w:lang w:val="en-US"/>
        </w:rPr>
      </w:pPr>
      <w:r w:rsidRPr="00F2776E">
        <w:rPr>
          <w:sz w:val="22"/>
          <w:szCs w:val="22"/>
          <w:lang w:val="en-US"/>
        </w:rPr>
        <w:t>Chevignard M, Francillette L, Toure H, Brugel D, Meyer P, Vannier AL, Opatowski M,  Watier L.</w:t>
      </w:r>
      <w:bookmarkStart w:id="23" w:name="_ENREF_31"/>
      <w:bookmarkEnd w:id="22"/>
      <w:r w:rsidRPr="00F2776E">
        <w:rPr>
          <w:sz w:val="22"/>
          <w:szCs w:val="22"/>
          <w:lang w:val="en-US"/>
        </w:rPr>
        <w:t xml:space="preserve"> Academic outcome, participation and health-related quality of life following childhood severe traumatic brain injury: Results of a prospective longitudinal study: The seven-year follow-up of the TGE cohort.</w:t>
      </w:r>
      <w:r w:rsidRPr="00F2776E">
        <w:rPr>
          <w:lang w:val="en-US"/>
        </w:rPr>
        <w:t xml:space="preserve"> </w:t>
      </w:r>
      <w:r w:rsidRPr="00F2776E">
        <w:rPr>
          <w:sz w:val="22"/>
          <w:szCs w:val="22"/>
          <w:lang w:val="en-US"/>
        </w:rPr>
        <w:t>Ann Phys Rehabil Med. 2016;59:133</w:t>
      </w:r>
    </w:p>
    <w:p w:rsidR="00C90E42" w:rsidRDefault="00BB07F3" w:rsidP="00C90E42">
      <w:pPr>
        <w:pStyle w:val="Lijstalinea"/>
        <w:numPr>
          <w:ilvl w:val="0"/>
          <w:numId w:val="3"/>
        </w:numPr>
        <w:spacing w:line="480" w:lineRule="auto"/>
        <w:ind w:left="709" w:hanging="709"/>
        <w:outlineLvl w:val="0"/>
        <w:rPr>
          <w:sz w:val="22"/>
          <w:szCs w:val="22"/>
          <w:lang w:val="en-US"/>
        </w:rPr>
      </w:pPr>
      <w:r w:rsidRPr="00187EC6">
        <w:rPr>
          <w:sz w:val="22"/>
          <w:szCs w:val="22"/>
        </w:rPr>
        <w:t>Sattoe JN, Bal MI, Roelofs PD</w:t>
      </w:r>
      <w:r w:rsidR="00C17698" w:rsidRPr="00187EC6">
        <w:rPr>
          <w:sz w:val="22"/>
          <w:szCs w:val="22"/>
        </w:rPr>
        <w:t>, et al</w:t>
      </w:r>
      <w:r w:rsidRPr="00187EC6">
        <w:rPr>
          <w:sz w:val="22"/>
          <w:szCs w:val="22"/>
        </w:rPr>
        <w:t xml:space="preserve">. </w:t>
      </w:r>
      <w:r w:rsidRPr="00C90E42">
        <w:rPr>
          <w:sz w:val="22"/>
          <w:szCs w:val="22"/>
          <w:lang w:val="en-US"/>
        </w:rPr>
        <w:t>Self-management interventions for young people with chronic conditions: A systematic overview. Pa</w:t>
      </w:r>
      <w:r w:rsidR="00C17698" w:rsidRPr="00C90E42">
        <w:rPr>
          <w:sz w:val="22"/>
          <w:szCs w:val="22"/>
          <w:lang w:val="en-US"/>
        </w:rPr>
        <w:t xml:space="preserve">tient education and counseling </w:t>
      </w:r>
      <w:r w:rsidR="0040338E">
        <w:rPr>
          <w:sz w:val="22"/>
          <w:szCs w:val="22"/>
          <w:lang w:val="en-US"/>
        </w:rPr>
        <w:t>2015;98</w:t>
      </w:r>
      <w:r w:rsidRPr="00C90E42">
        <w:rPr>
          <w:sz w:val="22"/>
          <w:szCs w:val="22"/>
          <w:lang w:val="en-US"/>
        </w:rPr>
        <w:t>:704-</w:t>
      </w:r>
      <w:r w:rsidR="0040338E">
        <w:rPr>
          <w:sz w:val="22"/>
          <w:szCs w:val="22"/>
          <w:lang w:val="en-US"/>
        </w:rPr>
        <w:t>7</w:t>
      </w:r>
      <w:r w:rsidRPr="00C90E42">
        <w:rPr>
          <w:sz w:val="22"/>
          <w:szCs w:val="22"/>
          <w:lang w:val="en-US"/>
        </w:rPr>
        <w:t>15.</w:t>
      </w:r>
      <w:bookmarkStart w:id="24" w:name="_ENREF_33"/>
      <w:bookmarkEnd w:id="23"/>
    </w:p>
    <w:p w:rsidR="00C90E42" w:rsidRDefault="00BB07F3" w:rsidP="00C90E42">
      <w:pPr>
        <w:pStyle w:val="Lijstalinea"/>
        <w:numPr>
          <w:ilvl w:val="0"/>
          <w:numId w:val="3"/>
        </w:numPr>
        <w:spacing w:line="480" w:lineRule="auto"/>
        <w:ind w:left="709" w:hanging="709"/>
        <w:outlineLvl w:val="0"/>
        <w:rPr>
          <w:sz w:val="22"/>
          <w:szCs w:val="22"/>
          <w:lang w:val="en-US"/>
        </w:rPr>
      </w:pPr>
      <w:r w:rsidRPr="00C90E42">
        <w:rPr>
          <w:sz w:val="22"/>
          <w:szCs w:val="22"/>
          <w:lang w:val="en-US"/>
        </w:rPr>
        <w:t>Maslow GR, Haydon A, McRee AL,</w:t>
      </w:r>
      <w:r w:rsidR="00C17698" w:rsidRPr="00C90E42">
        <w:rPr>
          <w:sz w:val="22"/>
          <w:szCs w:val="22"/>
          <w:lang w:val="en-US"/>
        </w:rPr>
        <w:t xml:space="preserve"> et al</w:t>
      </w:r>
      <w:r w:rsidRPr="00C90E42">
        <w:rPr>
          <w:sz w:val="22"/>
          <w:szCs w:val="22"/>
          <w:lang w:val="en-US"/>
        </w:rPr>
        <w:t xml:space="preserve">. Growing up with a chronic illness: social success, educational/vocational distress. </w:t>
      </w:r>
      <w:r w:rsidR="00610742" w:rsidRPr="00C90E42">
        <w:rPr>
          <w:sz w:val="22"/>
          <w:szCs w:val="22"/>
          <w:lang w:val="en-US"/>
        </w:rPr>
        <w:t>J</w:t>
      </w:r>
      <w:r w:rsidRPr="00C90E42">
        <w:rPr>
          <w:sz w:val="22"/>
          <w:szCs w:val="22"/>
          <w:lang w:val="en-US"/>
        </w:rPr>
        <w:t xml:space="preserve">ournal of </w:t>
      </w:r>
      <w:r w:rsidR="00610742" w:rsidRPr="00C90E42">
        <w:rPr>
          <w:sz w:val="22"/>
          <w:szCs w:val="22"/>
          <w:lang w:val="en-US"/>
        </w:rPr>
        <w:t>A</w:t>
      </w:r>
      <w:r w:rsidRPr="00C90E42">
        <w:rPr>
          <w:sz w:val="22"/>
          <w:szCs w:val="22"/>
          <w:lang w:val="en-US"/>
        </w:rPr>
        <w:t xml:space="preserve">dolescent </w:t>
      </w:r>
      <w:r w:rsidR="00610742" w:rsidRPr="00C90E42">
        <w:rPr>
          <w:sz w:val="22"/>
          <w:szCs w:val="22"/>
          <w:lang w:val="en-US"/>
        </w:rPr>
        <w:t>H</w:t>
      </w:r>
      <w:r w:rsidR="00C17698" w:rsidRPr="00C90E42">
        <w:rPr>
          <w:sz w:val="22"/>
          <w:szCs w:val="22"/>
          <w:lang w:val="en-US"/>
        </w:rPr>
        <w:t xml:space="preserve">ealth </w:t>
      </w:r>
      <w:r w:rsidR="0040338E">
        <w:rPr>
          <w:sz w:val="22"/>
          <w:szCs w:val="22"/>
          <w:lang w:val="en-US"/>
        </w:rPr>
        <w:t>2011;49</w:t>
      </w:r>
      <w:r w:rsidRPr="00C90E42">
        <w:rPr>
          <w:sz w:val="22"/>
          <w:szCs w:val="22"/>
          <w:lang w:val="en-US"/>
        </w:rPr>
        <w:t>:206-</w:t>
      </w:r>
      <w:r w:rsidR="0040338E">
        <w:rPr>
          <w:sz w:val="22"/>
          <w:szCs w:val="22"/>
          <w:lang w:val="en-US"/>
        </w:rPr>
        <w:t>2</w:t>
      </w:r>
      <w:r w:rsidRPr="00C90E42">
        <w:rPr>
          <w:sz w:val="22"/>
          <w:szCs w:val="22"/>
          <w:lang w:val="en-US"/>
        </w:rPr>
        <w:t>12.</w:t>
      </w:r>
      <w:bookmarkEnd w:id="24"/>
    </w:p>
    <w:p w:rsidR="00C90E42" w:rsidRDefault="00566289" w:rsidP="00C90E42">
      <w:pPr>
        <w:pStyle w:val="Lijstalinea"/>
        <w:numPr>
          <w:ilvl w:val="0"/>
          <w:numId w:val="3"/>
        </w:numPr>
        <w:spacing w:line="480" w:lineRule="auto"/>
        <w:ind w:left="709" w:hanging="709"/>
        <w:outlineLvl w:val="0"/>
        <w:rPr>
          <w:sz w:val="22"/>
          <w:szCs w:val="22"/>
          <w:lang w:val="en-US"/>
        </w:rPr>
      </w:pPr>
      <w:r w:rsidRPr="00C90E42">
        <w:rPr>
          <w:noProof/>
          <w:sz w:val="22"/>
          <w:szCs w:val="22"/>
          <w:lang w:val="en-US"/>
        </w:rPr>
        <w:t xml:space="preserve">Michielsen A, van Wijk I, Ketelaar M. Participation and health-related quality of life of Dutch children and adolescents with congenital lower limb deficiencies. Journal of Rehabilitation Medicine 2011;43:584-589. </w:t>
      </w:r>
    </w:p>
    <w:p w:rsidR="00C90E42" w:rsidRDefault="00AA4240" w:rsidP="00C90E42">
      <w:pPr>
        <w:pStyle w:val="Lijstalinea"/>
        <w:numPr>
          <w:ilvl w:val="0"/>
          <w:numId w:val="3"/>
        </w:numPr>
        <w:spacing w:line="480" w:lineRule="auto"/>
        <w:ind w:left="709" w:hanging="709"/>
        <w:outlineLvl w:val="0"/>
        <w:rPr>
          <w:sz w:val="22"/>
          <w:szCs w:val="22"/>
          <w:lang w:val="en-US"/>
        </w:rPr>
      </w:pPr>
      <w:r w:rsidRPr="00C90E42">
        <w:rPr>
          <w:sz w:val="22"/>
          <w:szCs w:val="22"/>
          <w:lang w:val="en-US"/>
        </w:rPr>
        <w:t>Lindsay S. A scoping review of the experiences, benefits, and challenges involved in volunteer work among youth and young adults with a disability. Disability and Rehabilitation</w:t>
      </w:r>
      <w:r w:rsidR="0040338E">
        <w:rPr>
          <w:sz w:val="22"/>
          <w:szCs w:val="22"/>
          <w:lang w:val="en-US"/>
        </w:rPr>
        <w:t xml:space="preserve"> 2015;18:</w:t>
      </w:r>
      <w:r w:rsidRPr="00C90E42">
        <w:rPr>
          <w:sz w:val="22"/>
          <w:szCs w:val="22"/>
          <w:lang w:val="en-US"/>
        </w:rPr>
        <w:t>1-14.</w:t>
      </w:r>
      <w:bookmarkStart w:id="25" w:name="_ENREF_37"/>
    </w:p>
    <w:p w:rsidR="00C90E42" w:rsidRDefault="00091D30" w:rsidP="00C90E42">
      <w:pPr>
        <w:pStyle w:val="Lijstalinea"/>
        <w:numPr>
          <w:ilvl w:val="0"/>
          <w:numId w:val="3"/>
        </w:numPr>
        <w:spacing w:line="480" w:lineRule="auto"/>
        <w:ind w:left="709" w:hanging="709"/>
        <w:outlineLvl w:val="0"/>
        <w:rPr>
          <w:sz w:val="22"/>
          <w:szCs w:val="22"/>
          <w:lang w:val="en-US"/>
        </w:rPr>
      </w:pPr>
      <w:r w:rsidRPr="00015A75">
        <w:rPr>
          <w:sz w:val="22"/>
          <w:szCs w:val="22"/>
          <w:lang w:val="en-US"/>
        </w:rPr>
        <w:t xml:space="preserve">Stewart DA, Law MC, Rosenbaum P, Willms DG. </w:t>
      </w:r>
      <w:r w:rsidR="00BB07F3" w:rsidRPr="00C90E42">
        <w:rPr>
          <w:sz w:val="22"/>
          <w:szCs w:val="22"/>
          <w:lang w:val="en-US"/>
        </w:rPr>
        <w:t>A qualitative study of the transition to adulthood for youth with phy</w:t>
      </w:r>
      <w:r w:rsidR="00610742" w:rsidRPr="00C90E42">
        <w:rPr>
          <w:sz w:val="22"/>
          <w:szCs w:val="22"/>
          <w:lang w:val="en-US"/>
        </w:rPr>
        <w:t>sical disabilities. Physical &amp; O</w:t>
      </w:r>
      <w:r w:rsidR="00BB07F3" w:rsidRPr="00C90E42">
        <w:rPr>
          <w:sz w:val="22"/>
          <w:szCs w:val="22"/>
          <w:lang w:val="en-US"/>
        </w:rPr>
        <w:t xml:space="preserve">ccupational </w:t>
      </w:r>
      <w:r w:rsidR="00610742" w:rsidRPr="00C90E42">
        <w:rPr>
          <w:sz w:val="22"/>
          <w:szCs w:val="22"/>
          <w:lang w:val="en-US"/>
        </w:rPr>
        <w:t>T</w:t>
      </w:r>
      <w:r w:rsidR="00BB07F3" w:rsidRPr="00C90E42">
        <w:rPr>
          <w:sz w:val="22"/>
          <w:szCs w:val="22"/>
          <w:lang w:val="en-US"/>
        </w:rPr>
        <w:t>herapy in</w:t>
      </w:r>
      <w:r w:rsidR="00C17698" w:rsidRPr="00C90E42">
        <w:rPr>
          <w:sz w:val="22"/>
          <w:szCs w:val="22"/>
          <w:lang w:val="en-US"/>
        </w:rPr>
        <w:t xml:space="preserve"> </w:t>
      </w:r>
      <w:r w:rsidR="00610742" w:rsidRPr="00C90E42">
        <w:rPr>
          <w:sz w:val="22"/>
          <w:szCs w:val="22"/>
          <w:lang w:val="en-US"/>
        </w:rPr>
        <w:t>P</w:t>
      </w:r>
      <w:r w:rsidR="00C17698" w:rsidRPr="00C90E42">
        <w:rPr>
          <w:sz w:val="22"/>
          <w:szCs w:val="22"/>
          <w:lang w:val="en-US"/>
        </w:rPr>
        <w:t>ediatrics</w:t>
      </w:r>
      <w:r w:rsidR="0040338E">
        <w:rPr>
          <w:sz w:val="22"/>
          <w:szCs w:val="22"/>
          <w:lang w:val="en-US"/>
        </w:rPr>
        <w:t xml:space="preserve"> 2001;21</w:t>
      </w:r>
      <w:r w:rsidR="00BB07F3" w:rsidRPr="00C90E42">
        <w:rPr>
          <w:sz w:val="22"/>
          <w:szCs w:val="22"/>
          <w:lang w:val="en-US"/>
        </w:rPr>
        <w:t>:3-21.</w:t>
      </w:r>
      <w:bookmarkStart w:id="26" w:name="_ENREF_38"/>
      <w:bookmarkEnd w:id="25"/>
    </w:p>
    <w:p w:rsidR="00C90E42" w:rsidRPr="00384F81" w:rsidRDefault="00FB34E6" w:rsidP="00C90E42">
      <w:pPr>
        <w:pStyle w:val="Lijstalinea"/>
        <w:numPr>
          <w:ilvl w:val="0"/>
          <w:numId w:val="3"/>
        </w:numPr>
        <w:spacing w:line="480" w:lineRule="auto"/>
        <w:ind w:left="709" w:hanging="709"/>
        <w:outlineLvl w:val="0"/>
        <w:rPr>
          <w:sz w:val="22"/>
          <w:szCs w:val="22"/>
          <w:lang w:val="en-US"/>
        </w:rPr>
      </w:pPr>
      <w:r w:rsidRPr="00C90E42">
        <w:rPr>
          <w:sz w:val="22"/>
          <w:szCs w:val="22"/>
          <w:lang w:val="en-US"/>
        </w:rPr>
        <w:t>World Health Organization</w:t>
      </w:r>
      <w:r w:rsidR="00BB07F3" w:rsidRPr="00C90E42">
        <w:rPr>
          <w:sz w:val="22"/>
          <w:szCs w:val="22"/>
          <w:lang w:val="en-US"/>
        </w:rPr>
        <w:t xml:space="preserve">. Skills-based health education including life skills: an important </w:t>
      </w:r>
      <w:r w:rsidR="00BB07F3" w:rsidRPr="00384F81">
        <w:rPr>
          <w:sz w:val="22"/>
          <w:szCs w:val="22"/>
          <w:lang w:val="en-US"/>
        </w:rPr>
        <w:t xml:space="preserve">component of a child-friendly/health-promoting school. </w:t>
      </w:r>
      <w:r w:rsidR="008E0F9D" w:rsidRPr="00384F81">
        <w:rPr>
          <w:sz w:val="22"/>
          <w:szCs w:val="22"/>
          <w:lang w:val="en-US"/>
        </w:rPr>
        <w:t>Geneva, Switserland: World Helth Organization</w:t>
      </w:r>
      <w:r w:rsidR="005F05BA" w:rsidRPr="00384F81">
        <w:rPr>
          <w:sz w:val="22"/>
          <w:szCs w:val="22"/>
          <w:lang w:val="en-US"/>
        </w:rPr>
        <w:t>;</w:t>
      </w:r>
      <w:r w:rsidR="00BB07F3" w:rsidRPr="00384F81">
        <w:rPr>
          <w:sz w:val="22"/>
          <w:szCs w:val="22"/>
          <w:lang w:val="en-US"/>
        </w:rPr>
        <w:t xml:space="preserve"> 2003.</w:t>
      </w:r>
      <w:bookmarkEnd w:id="26"/>
    </w:p>
    <w:p w:rsidR="00C90E42" w:rsidRPr="00384F81" w:rsidRDefault="0085679F" w:rsidP="00C90E42">
      <w:pPr>
        <w:pStyle w:val="Lijstalinea"/>
        <w:numPr>
          <w:ilvl w:val="0"/>
          <w:numId w:val="3"/>
        </w:numPr>
        <w:spacing w:line="480" w:lineRule="auto"/>
        <w:ind w:left="709" w:hanging="709"/>
        <w:outlineLvl w:val="0"/>
        <w:rPr>
          <w:sz w:val="22"/>
          <w:szCs w:val="22"/>
          <w:lang w:val="en-US"/>
        </w:rPr>
      </w:pPr>
      <w:r w:rsidRPr="00180FAB">
        <w:rPr>
          <w:sz w:val="22"/>
          <w:szCs w:val="22"/>
        </w:rPr>
        <w:t>Centraal Bureau voor Statistiek [Statistics Netherlands]</w:t>
      </w:r>
      <w:r w:rsidR="00384F81" w:rsidRPr="00180FAB">
        <w:rPr>
          <w:sz w:val="22"/>
          <w:szCs w:val="22"/>
        </w:rPr>
        <w:t xml:space="preserve">. </w:t>
      </w:r>
      <w:r w:rsidR="00091D30" w:rsidRPr="00015A75">
        <w:rPr>
          <w:sz w:val="22"/>
          <w:szCs w:val="22"/>
          <w:lang w:val="en-US"/>
        </w:rPr>
        <w:t xml:space="preserve">StatLine, http://statline.cbs.nl/statweb/. </w:t>
      </w:r>
      <w:r w:rsidR="00384F81" w:rsidRPr="00384F81">
        <w:rPr>
          <w:sz w:val="22"/>
          <w:szCs w:val="22"/>
          <w:lang w:val="en-US"/>
        </w:rPr>
        <w:t>[a</w:t>
      </w:r>
      <w:r w:rsidRPr="00384F81">
        <w:rPr>
          <w:sz w:val="22"/>
          <w:szCs w:val="22"/>
          <w:lang w:val="en-US"/>
        </w:rPr>
        <w:t>ccessed</w:t>
      </w:r>
      <w:r w:rsidR="00384F81">
        <w:rPr>
          <w:sz w:val="22"/>
          <w:szCs w:val="22"/>
          <w:lang w:val="en-US"/>
        </w:rPr>
        <w:t xml:space="preserve"> </w:t>
      </w:r>
      <w:r w:rsidR="00384F81" w:rsidRPr="00384F81">
        <w:rPr>
          <w:sz w:val="22"/>
          <w:szCs w:val="22"/>
          <w:lang w:val="en-US"/>
        </w:rPr>
        <w:t>23.09.16]</w:t>
      </w:r>
      <w:r w:rsidRPr="00384F81">
        <w:rPr>
          <w:sz w:val="22"/>
          <w:szCs w:val="22"/>
          <w:lang w:val="en-US"/>
        </w:rPr>
        <w:t>.</w:t>
      </w:r>
    </w:p>
    <w:p w:rsidR="00BB07F3" w:rsidRPr="00C90E42" w:rsidRDefault="00091D30" w:rsidP="00C90E42">
      <w:pPr>
        <w:pStyle w:val="Lijstalinea"/>
        <w:numPr>
          <w:ilvl w:val="0"/>
          <w:numId w:val="3"/>
        </w:numPr>
        <w:spacing w:line="480" w:lineRule="auto"/>
        <w:ind w:left="709" w:hanging="709"/>
        <w:outlineLvl w:val="0"/>
        <w:rPr>
          <w:sz w:val="22"/>
          <w:szCs w:val="22"/>
          <w:lang w:val="en-US"/>
        </w:rPr>
      </w:pPr>
      <w:r w:rsidRPr="00CB5208">
        <w:rPr>
          <w:sz w:val="22"/>
          <w:szCs w:val="22"/>
        </w:rPr>
        <w:t xml:space="preserve">Verkerk K, Luijsterburg PA, Pool-Goudzwaard A, Heymans MW, Ronchetti I, Miedema HS,  Koes BW. </w:t>
      </w:r>
      <w:r w:rsidR="00144537" w:rsidRPr="00C90E42">
        <w:rPr>
          <w:sz w:val="22"/>
          <w:szCs w:val="22"/>
          <w:lang w:val="en-US"/>
        </w:rPr>
        <w:t xml:space="preserve">Prognosis and course of work-participation in patients with chronic non-specific </w:t>
      </w:r>
      <w:r w:rsidR="00144537" w:rsidRPr="00C90E42">
        <w:rPr>
          <w:sz w:val="22"/>
          <w:szCs w:val="22"/>
          <w:lang w:val="en-US"/>
        </w:rPr>
        <w:lastRenderedPageBreak/>
        <w:t>low back pain: A 12-month follow-up cohort study. Journal of Rehabilitation Medicine</w:t>
      </w:r>
      <w:r w:rsidR="0040338E">
        <w:rPr>
          <w:sz w:val="22"/>
          <w:szCs w:val="22"/>
          <w:lang w:val="en-US"/>
        </w:rPr>
        <w:t xml:space="preserve"> 2015;</w:t>
      </w:r>
      <w:r w:rsidR="00144537" w:rsidRPr="00C90E42">
        <w:rPr>
          <w:sz w:val="22"/>
          <w:szCs w:val="22"/>
          <w:lang w:val="en-US"/>
        </w:rPr>
        <w:t>47: 854-859.</w:t>
      </w:r>
    </w:p>
    <w:p w:rsidR="00BB07F3" w:rsidRPr="004A5F5F" w:rsidRDefault="00BB07F3" w:rsidP="004A5F5F">
      <w:pPr>
        <w:spacing w:line="480" w:lineRule="auto"/>
        <w:rPr>
          <w:sz w:val="22"/>
          <w:szCs w:val="22"/>
          <w:lang w:val="en-GB"/>
        </w:rPr>
      </w:pPr>
    </w:p>
    <w:p w:rsidR="00BB07F3" w:rsidRPr="004A5F5F" w:rsidRDefault="00BB07F3"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p w:rsidR="000C345F" w:rsidRPr="004A5F5F" w:rsidRDefault="000C345F" w:rsidP="004A5F5F">
      <w:pPr>
        <w:spacing w:line="480" w:lineRule="auto"/>
        <w:rPr>
          <w:sz w:val="22"/>
          <w:szCs w:val="22"/>
          <w:lang w:val="en-GB"/>
        </w:rPr>
      </w:pPr>
    </w:p>
    <w:sectPr w:rsidR="000C345F" w:rsidRPr="004A5F5F" w:rsidSect="007430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E4" w:rsidRDefault="009749E4" w:rsidP="00692032">
      <w:r>
        <w:separator/>
      </w:r>
    </w:p>
  </w:endnote>
  <w:endnote w:type="continuationSeparator" w:id="0">
    <w:p w:rsidR="009749E4" w:rsidRDefault="009749E4" w:rsidP="0069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81725"/>
      <w:docPartObj>
        <w:docPartGallery w:val="Page Numbers (Bottom of Page)"/>
        <w:docPartUnique/>
      </w:docPartObj>
    </w:sdtPr>
    <w:sdtEndPr/>
    <w:sdtContent>
      <w:p w:rsidR="009749E4" w:rsidRDefault="009749E4">
        <w:pPr>
          <w:pStyle w:val="Voettekst"/>
          <w:jc w:val="right"/>
        </w:pPr>
        <w:r>
          <w:fldChar w:fldCharType="begin"/>
        </w:r>
        <w:r>
          <w:instrText>PAGE   \* MERGEFORMAT</w:instrText>
        </w:r>
        <w:r>
          <w:fldChar w:fldCharType="separate"/>
        </w:r>
        <w:r w:rsidR="00907064">
          <w:rPr>
            <w:noProof/>
          </w:rPr>
          <w:t>2</w:t>
        </w:r>
        <w:r>
          <w:fldChar w:fldCharType="end"/>
        </w:r>
      </w:p>
    </w:sdtContent>
  </w:sdt>
  <w:p w:rsidR="009749E4" w:rsidRDefault="009749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E4" w:rsidRDefault="009749E4" w:rsidP="00692032">
      <w:r>
        <w:separator/>
      </w:r>
    </w:p>
  </w:footnote>
  <w:footnote w:type="continuationSeparator" w:id="0">
    <w:p w:rsidR="009749E4" w:rsidRDefault="009749E4" w:rsidP="00692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15A"/>
    <w:multiLevelType w:val="hybridMultilevel"/>
    <w:tmpl w:val="28AE0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FA4515"/>
    <w:multiLevelType w:val="hybridMultilevel"/>
    <w:tmpl w:val="AE00B60C"/>
    <w:lvl w:ilvl="0" w:tplc="8342FFD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A309B8"/>
    <w:multiLevelType w:val="hybridMultilevel"/>
    <w:tmpl w:val="8AD82828"/>
    <w:lvl w:ilvl="0" w:tplc="EE4C846C">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BB07F3"/>
    <w:rsid w:val="00004A55"/>
    <w:rsid w:val="00015A75"/>
    <w:rsid w:val="00023BCF"/>
    <w:rsid w:val="000377A5"/>
    <w:rsid w:val="00045400"/>
    <w:rsid w:val="000457A5"/>
    <w:rsid w:val="000518AD"/>
    <w:rsid w:val="00072950"/>
    <w:rsid w:val="00073657"/>
    <w:rsid w:val="00076CA9"/>
    <w:rsid w:val="00091D30"/>
    <w:rsid w:val="0009407A"/>
    <w:rsid w:val="000A1A2F"/>
    <w:rsid w:val="000B0642"/>
    <w:rsid w:val="000B0EA3"/>
    <w:rsid w:val="000C00AA"/>
    <w:rsid w:val="000C2CD4"/>
    <w:rsid w:val="000C345F"/>
    <w:rsid w:val="000E0391"/>
    <w:rsid w:val="000F3F6B"/>
    <w:rsid w:val="000F7CD9"/>
    <w:rsid w:val="00135310"/>
    <w:rsid w:val="00137CB8"/>
    <w:rsid w:val="00144537"/>
    <w:rsid w:val="0015036C"/>
    <w:rsid w:val="00161765"/>
    <w:rsid w:val="00165BDC"/>
    <w:rsid w:val="00170ABE"/>
    <w:rsid w:val="00174704"/>
    <w:rsid w:val="00175DCA"/>
    <w:rsid w:val="00180FAB"/>
    <w:rsid w:val="00187EC6"/>
    <w:rsid w:val="001C3327"/>
    <w:rsid w:val="001C7C95"/>
    <w:rsid w:val="001D01E9"/>
    <w:rsid w:val="001D2E9B"/>
    <w:rsid w:val="001F787B"/>
    <w:rsid w:val="002162B9"/>
    <w:rsid w:val="0021765C"/>
    <w:rsid w:val="00253E18"/>
    <w:rsid w:val="00257F52"/>
    <w:rsid w:val="00272F28"/>
    <w:rsid w:val="002822F1"/>
    <w:rsid w:val="002A638C"/>
    <w:rsid w:val="002F5129"/>
    <w:rsid w:val="002F6E53"/>
    <w:rsid w:val="00300CD1"/>
    <w:rsid w:val="00316D9B"/>
    <w:rsid w:val="00322F70"/>
    <w:rsid w:val="00326B94"/>
    <w:rsid w:val="00341B70"/>
    <w:rsid w:val="00361715"/>
    <w:rsid w:val="0037731F"/>
    <w:rsid w:val="00384F81"/>
    <w:rsid w:val="003D3CEF"/>
    <w:rsid w:val="003E2756"/>
    <w:rsid w:val="003E5788"/>
    <w:rsid w:val="003E782D"/>
    <w:rsid w:val="003F2974"/>
    <w:rsid w:val="0040338E"/>
    <w:rsid w:val="00404411"/>
    <w:rsid w:val="004068B1"/>
    <w:rsid w:val="00470AEA"/>
    <w:rsid w:val="0047220A"/>
    <w:rsid w:val="00473898"/>
    <w:rsid w:val="00481C3F"/>
    <w:rsid w:val="00496CEE"/>
    <w:rsid w:val="004A5F5F"/>
    <w:rsid w:val="004B79D4"/>
    <w:rsid w:val="004C450C"/>
    <w:rsid w:val="004C7789"/>
    <w:rsid w:val="004D0181"/>
    <w:rsid w:val="004F3D1B"/>
    <w:rsid w:val="00500DEB"/>
    <w:rsid w:val="0050306D"/>
    <w:rsid w:val="00551C94"/>
    <w:rsid w:val="00554D91"/>
    <w:rsid w:val="005601FA"/>
    <w:rsid w:val="0056020F"/>
    <w:rsid w:val="00566289"/>
    <w:rsid w:val="00566976"/>
    <w:rsid w:val="0057668E"/>
    <w:rsid w:val="0057778E"/>
    <w:rsid w:val="005824DB"/>
    <w:rsid w:val="005B1399"/>
    <w:rsid w:val="005B63A7"/>
    <w:rsid w:val="005B7991"/>
    <w:rsid w:val="005C12B2"/>
    <w:rsid w:val="005C6008"/>
    <w:rsid w:val="005D29D5"/>
    <w:rsid w:val="005D76AE"/>
    <w:rsid w:val="005F05BA"/>
    <w:rsid w:val="005F09EE"/>
    <w:rsid w:val="005F4EB6"/>
    <w:rsid w:val="005F50CB"/>
    <w:rsid w:val="00603D30"/>
    <w:rsid w:val="00610742"/>
    <w:rsid w:val="00616857"/>
    <w:rsid w:val="00645718"/>
    <w:rsid w:val="0064582C"/>
    <w:rsid w:val="00670550"/>
    <w:rsid w:val="00674609"/>
    <w:rsid w:val="00692032"/>
    <w:rsid w:val="00697AF1"/>
    <w:rsid w:val="006A1595"/>
    <w:rsid w:val="006C543A"/>
    <w:rsid w:val="006E3FC0"/>
    <w:rsid w:val="006E596F"/>
    <w:rsid w:val="007430D3"/>
    <w:rsid w:val="0075398D"/>
    <w:rsid w:val="00760B64"/>
    <w:rsid w:val="007B6C85"/>
    <w:rsid w:val="007C0D62"/>
    <w:rsid w:val="007C2267"/>
    <w:rsid w:val="007D0718"/>
    <w:rsid w:val="007E6E7A"/>
    <w:rsid w:val="007F274D"/>
    <w:rsid w:val="0080585F"/>
    <w:rsid w:val="008152A7"/>
    <w:rsid w:val="00853BC7"/>
    <w:rsid w:val="0085679F"/>
    <w:rsid w:val="00861323"/>
    <w:rsid w:val="00871CE8"/>
    <w:rsid w:val="008A3F4B"/>
    <w:rsid w:val="008A583C"/>
    <w:rsid w:val="008C418B"/>
    <w:rsid w:val="008D1BDF"/>
    <w:rsid w:val="008D30D0"/>
    <w:rsid w:val="008E0F9D"/>
    <w:rsid w:val="00907064"/>
    <w:rsid w:val="00915B0F"/>
    <w:rsid w:val="00931016"/>
    <w:rsid w:val="00940CE3"/>
    <w:rsid w:val="00942A3B"/>
    <w:rsid w:val="00944BAF"/>
    <w:rsid w:val="00951481"/>
    <w:rsid w:val="009603DA"/>
    <w:rsid w:val="00973389"/>
    <w:rsid w:val="009747FD"/>
    <w:rsid w:val="009749E4"/>
    <w:rsid w:val="0098360F"/>
    <w:rsid w:val="00985491"/>
    <w:rsid w:val="0098664B"/>
    <w:rsid w:val="009A2F69"/>
    <w:rsid w:val="009B7E6C"/>
    <w:rsid w:val="009C0178"/>
    <w:rsid w:val="009F7EA2"/>
    <w:rsid w:val="00A20DB9"/>
    <w:rsid w:val="00A275ED"/>
    <w:rsid w:val="00A304B6"/>
    <w:rsid w:val="00A30C87"/>
    <w:rsid w:val="00A37AB8"/>
    <w:rsid w:val="00A53E33"/>
    <w:rsid w:val="00A63832"/>
    <w:rsid w:val="00A7140F"/>
    <w:rsid w:val="00A86026"/>
    <w:rsid w:val="00A94322"/>
    <w:rsid w:val="00AA4240"/>
    <w:rsid w:val="00AC0412"/>
    <w:rsid w:val="00AD3106"/>
    <w:rsid w:val="00AF0CCD"/>
    <w:rsid w:val="00AF4BF2"/>
    <w:rsid w:val="00B00394"/>
    <w:rsid w:val="00B10812"/>
    <w:rsid w:val="00B137DF"/>
    <w:rsid w:val="00B160B6"/>
    <w:rsid w:val="00B51C32"/>
    <w:rsid w:val="00B71AAF"/>
    <w:rsid w:val="00B766C6"/>
    <w:rsid w:val="00BB07F3"/>
    <w:rsid w:val="00BC2B50"/>
    <w:rsid w:val="00BC7856"/>
    <w:rsid w:val="00BD0747"/>
    <w:rsid w:val="00BD64DE"/>
    <w:rsid w:val="00BE4D7A"/>
    <w:rsid w:val="00BF1615"/>
    <w:rsid w:val="00C17698"/>
    <w:rsid w:val="00C2710F"/>
    <w:rsid w:val="00C27D3C"/>
    <w:rsid w:val="00C33E5E"/>
    <w:rsid w:val="00C34919"/>
    <w:rsid w:val="00C37BBE"/>
    <w:rsid w:val="00C45B3C"/>
    <w:rsid w:val="00C66420"/>
    <w:rsid w:val="00C80E0A"/>
    <w:rsid w:val="00C838DD"/>
    <w:rsid w:val="00C8697D"/>
    <w:rsid w:val="00C90E42"/>
    <w:rsid w:val="00CA719B"/>
    <w:rsid w:val="00CB0E6D"/>
    <w:rsid w:val="00CB5208"/>
    <w:rsid w:val="00CC0E2E"/>
    <w:rsid w:val="00CE1C52"/>
    <w:rsid w:val="00D012C9"/>
    <w:rsid w:val="00D035AB"/>
    <w:rsid w:val="00D0540C"/>
    <w:rsid w:val="00D125DD"/>
    <w:rsid w:val="00D146A7"/>
    <w:rsid w:val="00D21FDC"/>
    <w:rsid w:val="00D315B1"/>
    <w:rsid w:val="00D34F81"/>
    <w:rsid w:val="00D7555B"/>
    <w:rsid w:val="00D946CA"/>
    <w:rsid w:val="00DA378C"/>
    <w:rsid w:val="00DB2EBD"/>
    <w:rsid w:val="00DB4342"/>
    <w:rsid w:val="00DD7C92"/>
    <w:rsid w:val="00DE1E96"/>
    <w:rsid w:val="00DE7FEC"/>
    <w:rsid w:val="00DF5174"/>
    <w:rsid w:val="00E05886"/>
    <w:rsid w:val="00E12907"/>
    <w:rsid w:val="00E17332"/>
    <w:rsid w:val="00E23648"/>
    <w:rsid w:val="00E27AD2"/>
    <w:rsid w:val="00E346AD"/>
    <w:rsid w:val="00E41B69"/>
    <w:rsid w:val="00E57D14"/>
    <w:rsid w:val="00E65490"/>
    <w:rsid w:val="00E829C4"/>
    <w:rsid w:val="00E90974"/>
    <w:rsid w:val="00EA35F6"/>
    <w:rsid w:val="00EA3AA9"/>
    <w:rsid w:val="00EB21B8"/>
    <w:rsid w:val="00EC054C"/>
    <w:rsid w:val="00EC0E63"/>
    <w:rsid w:val="00EC191D"/>
    <w:rsid w:val="00EC2B32"/>
    <w:rsid w:val="00EE1343"/>
    <w:rsid w:val="00F00B1D"/>
    <w:rsid w:val="00F00DBD"/>
    <w:rsid w:val="00F108BD"/>
    <w:rsid w:val="00F123B2"/>
    <w:rsid w:val="00F202CE"/>
    <w:rsid w:val="00F2776E"/>
    <w:rsid w:val="00F442B6"/>
    <w:rsid w:val="00F51C52"/>
    <w:rsid w:val="00F624E5"/>
    <w:rsid w:val="00F6579D"/>
    <w:rsid w:val="00F71C07"/>
    <w:rsid w:val="00F73CD4"/>
    <w:rsid w:val="00F84C4F"/>
    <w:rsid w:val="00F93889"/>
    <w:rsid w:val="00FA430A"/>
    <w:rsid w:val="00FB34E6"/>
    <w:rsid w:val="00FD0990"/>
    <w:rsid w:val="00FD33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F84ED1-8B4B-4CFC-B09E-6D108351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07F3"/>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BB07F3"/>
    <w:rPr>
      <w:color w:val="0000FF" w:themeColor="hyperlink"/>
      <w:u w:val="single"/>
    </w:rPr>
  </w:style>
  <w:style w:type="paragraph" w:styleId="Lijstalinea">
    <w:name w:val="List Paragraph"/>
    <w:basedOn w:val="Standaard"/>
    <w:rsid w:val="00BB07F3"/>
    <w:pPr>
      <w:ind w:left="720"/>
      <w:contextualSpacing/>
    </w:pPr>
  </w:style>
  <w:style w:type="paragraph" w:customStyle="1" w:styleId="EndNoteBibliographyTitle">
    <w:name w:val="EndNote Bibliography Title"/>
    <w:basedOn w:val="Standaard"/>
    <w:link w:val="EndNoteBibliographyTitleChar"/>
    <w:rsid w:val="00BB07F3"/>
    <w:pPr>
      <w:jc w:val="center"/>
    </w:pPr>
    <w:rPr>
      <w:noProof/>
    </w:rPr>
  </w:style>
  <w:style w:type="character" w:customStyle="1" w:styleId="EndNoteBibliographyTitleChar">
    <w:name w:val="EndNote Bibliography Title Char"/>
    <w:basedOn w:val="Standaardalinea-lettertype"/>
    <w:link w:val="EndNoteBibliographyTitle"/>
    <w:rsid w:val="00BB07F3"/>
    <w:rPr>
      <w:rFonts w:ascii="Times New Roman" w:eastAsia="Times New Roman" w:hAnsi="Times New Roman" w:cs="Times New Roman"/>
      <w:noProof/>
      <w:sz w:val="24"/>
      <w:szCs w:val="24"/>
      <w:lang w:eastAsia="nl-NL"/>
    </w:rPr>
  </w:style>
  <w:style w:type="paragraph" w:customStyle="1" w:styleId="EndNoteBibliography">
    <w:name w:val="EndNote Bibliography"/>
    <w:basedOn w:val="Standaard"/>
    <w:link w:val="EndNoteBibliographyChar"/>
    <w:rsid w:val="00BB07F3"/>
    <w:rPr>
      <w:noProof/>
    </w:rPr>
  </w:style>
  <w:style w:type="character" w:customStyle="1" w:styleId="EndNoteBibliographyChar">
    <w:name w:val="EndNote Bibliography Char"/>
    <w:basedOn w:val="Standaardalinea-lettertype"/>
    <w:link w:val="EndNoteBibliography"/>
    <w:rsid w:val="00BB07F3"/>
    <w:rPr>
      <w:rFonts w:ascii="Times New Roman" w:eastAsia="Times New Roman" w:hAnsi="Times New Roman" w:cs="Times New Roman"/>
      <w:noProof/>
      <w:sz w:val="24"/>
      <w:szCs w:val="24"/>
      <w:lang w:eastAsia="nl-NL"/>
    </w:rPr>
  </w:style>
  <w:style w:type="character" w:styleId="Verwijzingopmerking">
    <w:name w:val="annotation reference"/>
    <w:basedOn w:val="Standaardalinea-lettertype"/>
    <w:uiPriority w:val="99"/>
    <w:semiHidden/>
    <w:unhideWhenUsed/>
    <w:rsid w:val="00BB07F3"/>
    <w:rPr>
      <w:sz w:val="16"/>
      <w:szCs w:val="16"/>
    </w:rPr>
  </w:style>
  <w:style w:type="paragraph" w:styleId="Tekstopmerking">
    <w:name w:val="annotation text"/>
    <w:basedOn w:val="Standaard"/>
    <w:link w:val="TekstopmerkingChar"/>
    <w:uiPriority w:val="99"/>
    <w:semiHidden/>
    <w:unhideWhenUsed/>
    <w:rsid w:val="00BB07F3"/>
    <w:rPr>
      <w:sz w:val="20"/>
      <w:szCs w:val="20"/>
    </w:rPr>
  </w:style>
  <w:style w:type="character" w:customStyle="1" w:styleId="TekstopmerkingChar">
    <w:name w:val="Tekst opmerking Char"/>
    <w:basedOn w:val="Standaardalinea-lettertype"/>
    <w:link w:val="Tekstopmerking"/>
    <w:semiHidden/>
    <w:rsid w:val="00BB07F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BB07F3"/>
    <w:rPr>
      <w:b/>
      <w:bCs/>
    </w:rPr>
  </w:style>
  <w:style w:type="character" w:customStyle="1" w:styleId="OnderwerpvanopmerkingChar">
    <w:name w:val="Onderwerp van opmerking Char"/>
    <w:basedOn w:val="TekstopmerkingChar"/>
    <w:link w:val="Onderwerpvanopmerking"/>
    <w:semiHidden/>
    <w:rsid w:val="00BB07F3"/>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unhideWhenUsed/>
    <w:rsid w:val="00BB07F3"/>
    <w:rPr>
      <w:rFonts w:ascii="Segoe UI" w:hAnsi="Segoe UI" w:cs="Segoe UI"/>
      <w:sz w:val="18"/>
      <w:szCs w:val="18"/>
    </w:rPr>
  </w:style>
  <w:style w:type="character" w:customStyle="1" w:styleId="BallontekstChar">
    <w:name w:val="Ballontekst Char"/>
    <w:basedOn w:val="Standaardalinea-lettertype"/>
    <w:link w:val="Ballontekst"/>
    <w:semiHidden/>
    <w:rsid w:val="00BB07F3"/>
    <w:rPr>
      <w:rFonts w:ascii="Segoe UI" w:eastAsia="Times New Roman" w:hAnsi="Segoe UI" w:cs="Segoe UI"/>
      <w:sz w:val="18"/>
      <w:szCs w:val="18"/>
      <w:lang w:eastAsia="nl-NL"/>
    </w:rPr>
  </w:style>
  <w:style w:type="character" w:styleId="GevolgdeHyperlink">
    <w:name w:val="FollowedHyperlink"/>
    <w:basedOn w:val="Standaardalinea-lettertype"/>
    <w:unhideWhenUsed/>
    <w:rsid w:val="00BB07F3"/>
    <w:rPr>
      <w:color w:val="800080" w:themeColor="followedHyperlink"/>
      <w:u w:val="single"/>
    </w:rPr>
  </w:style>
  <w:style w:type="table" w:styleId="Tabelraster">
    <w:name w:val="Table Grid"/>
    <w:basedOn w:val="Standaardtabel"/>
    <w:rsid w:val="00BB07F3"/>
    <w:rPr>
      <w:rFonts w:eastAsiaTheme="minorEastAsia" w:cs="Mangal"/>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div">
    <w:name w:val="referencediv"/>
    <w:basedOn w:val="Standaardalinea-lettertype"/>
    <w:rsid w:val="00BB07F3"/>
  </w:style>
  <w:style w:type="character" w:customStyle="1" w:styleId="blockspan">
    <w:name w:val="blockspan"/>
    <w:basedOn w:val="Standaardalinea-lettertype"/>
    <w:rsid w:val="00BB07F3"/>
  </w:style>
  <w:style w:type="character" w:styleId="Zwaar">
    <w:name w:val="Strong"/>
    <w:basedOn w:val="Standaardalinea-lettertype"/>
    <w:uiPriority w:val="22"/>
    <w:qFormat/>
    <w:rsid w:val="00BB07F3"/>
    <w:rPr>
      <w:b/>
      <w:bCs/>
    </w:rPr>
  </w:style>
  <w:style w:type="paragraph" w:styleId="Koptekst">
    <w:name w:val="header"/>
    <w:basedOn w:val="Standaard"/>
    <w:link w:val="KoptekstChar"/>
    <w:uiPriority w:val="99"/>
    <w:unhideWhenUsed/>
    <w:rsid w:val="00692032"/>
    <w:pPr>
      <w:tabs>
        <w:tab w:val="center" w:pos="4536"/>
        <w:tab w:val="right" w:pos="9072"/>
      </w:tabs>
    </w:pPr>
  </w:style>
  <w:style w:type="character" w:customStyle="1" w:styleId="KoptekstChar">
    <w:name w:val="Koptekst Char"/>
    <w:basedOn w:val="Standaardalinea-lettertype"/>
    <w:link w:val="Koptekst"/>
    <w:uiPriority w:val="99"/>
    <w:rsid w:val="0069203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92032"/>
    <w:pPr>
      <w:tabs>
        <w:tab w:val="center" w:pos="4536"/>
        <w:tab w:val="right" w:pos="9072"/>
      </w:tabs>
    </w:pPr>
  </w:style>
  <w:style w:type="character" w:customStyle="1" w:styleId="VoettekstChar">
    <w:name w:val="Voettekst Char"/>
    <w:basedOn w:val="Standaardalinea-lettertype"/>
    <w:link w:val="Voettekst"/>
    <w:uiPriority w:val="99"/>
    <w:rsid w:val="00692032"/>
    <w:rPr>
      <w:rFonts w:ascii="Times New Roman" w:eastAsia="Times New Roman" w:hAnsi="Times New Roman" w:cs="Times New Roman"/>
      <w:sz w:val="24"/>
      <w:szCs w:val="24"/>
      <w:lang w:eastAsia="nl-NL"/>
    </w:rPr>
  </w:style>
  <w:style w:type="character" w:customStyle="1" w:styleId="selectable">
    <w:name w:val="selectable"/>
    <w:basedOn w:val="Standaardalinea-lettertype"/>
    <w:rsid w:val="002A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9C04-80E1-4E5C-9AD0-85E3D422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6962E18A.dotm</Template>
  <TotalTime>11</TotalTime>
  <Pages>19</Pages>
  <Words>5622</Words>
  <Characters>30921</Characters>
  <Application>Microsoft Office Word</Application>
  <DocSecurity>0</DocSecurity>
  <Lines>257</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 Bal</dc:creator>
  <cp:lastModifiedBy>Bal, M.I. (Marjolijn)</cp:lastModifiedBy>
  <cp:revision>5</cp:revision>
  <dcterms:created xsi:type="dcterms:W3CDTF">2017-11-26T13:50:00Z</dcterms:created>
  <dcterms:modified xsi:type="dcterms:W3CDTF">2017-11-28T19:39:00Z</dcterms:modified>
</cp:coreProperties>
</file>